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5B51" w14:textId="77777777" w:rsidR="00BC0C25" w:rsidRDefault="00BC0C25" w:rsidP="00EE6FB7">
      <w:pPr>
        <w:autoSpaceDE w:val="0"/>
        <w:autoSpaceDN w:val="0"/>
        <w:adjustRightInd w:val="0"/>
        <w:spacing w:after="0" w:line="360" w:lineRule="auto"/>
        <w:jc w:val="center"/>
        <w:rPr>
          <w:rFonts w:asciiTheme="minorHAnsi" w:hAnsiTheme="minorHAnsi" w:cs="Arial"/>
          <w:b/>
          <w:sz w:val="30"/>
          <w:szCs w:val="30"/>
          <w:lang w:eastAsia="pt-BR"/>
        </w:rPr>
      </w:pPr>
      <w:bookmarkStart w:id="0" w:name="_GoBack"/>
      <w:bookmarkEnd w:id="0"/>
    </w:p>
    <w:p w14:paraId="6D7E13FB" w14:textId="6FD11F13" w:rsidR="002725F0" w:rsidRDefault="000A24F2" w:rsidP="009B6A6F">
      <w:pPr>
        <w:autoSpaceDE w:val="0"/>
        <w:autoSpaceDN w:val="0"/>
        <w:adjustRightInd w:val="0"/>
        <w:spacing w:after="0" w:line="360" w:lineRule="auto"/>
        <w:jc w:val="center"/>
        <w:rPr>
          <w:rFonts w:asciiTheme="minorHAnsi" w:hAnsiTheme="minorHAnsi" w:cs="Arial"/>
          <w:b/>
          <w:sz w:val="30"/>
          <w:szCs w:val="30"/>
          <w:lang w:eastAsia="pt-BR"/>
        </w:rPr>
      </w:pPr>
      <w:r w:rsidRPr="000A24F2">
        <w:rPr>
          <w:rFonts w:asciiTheme="minorHAnsi" w:hAnsiTheme="minorHAnsi" w:cs="Arial"/>
          <w:b/>
          <w:sz w:val="30"/>
          <w:szCs w:val="30"/>
          <w:lang w:eastAsia="pt-BR"/>
        </w:rPr>
        <w:t xml:space="preserve">Com pandemia, ANEF aponta recuo de 12% nos recursos liberados </w:t>
      </w:r>
      <w:r>
        <w:rPr>
          <w:rFonts w:asciiTheme="minorHAnsi" w:hAnsiTheme="minorHAnsi" w:cs="Arial"/>
          <w:b/>
          <w:sz w:val="30"/>
          <w:szCs w:val="30"/>
          <w:lang w:eastAsia="pt-BR"/>
        </w:rPr>
        <w:br/>
      </w:r>
      <w:r w:rsidRPr="000A24F2">
        <w:rPr>
          <w:rFonts w:asciiTheme="minorHAnsi" w:hAnsiTheme="minorHAnsi" w:cs="Arial"/>
          <w:b/>
          <w:sz w:val="30"/>
          <w:szCs w:val="30"/>
          <w:lang w:eastAsia="pt-BR"/>
        </w:rPr>
        <w:t xml:space="preserve">para financiamento no 1º </w:t>
      </w:r>
      <w:proofErr w:type="gramStart"/>
      <w:r w:rsidRPr="000A24F2">
        <w:rPr>
          <w:rFonts w:asciiTheme="minorHAnsi" w:hAnsiTheme="minorHAnsi" w:cs="Arial"/>
          <w:b/>
          <w:sz w:val="30"/>
          <w:szCs w:val="30"/>
          <w:lang w:eastAsia="pt-BR"/>
        </w:rPr>
        <w:t>semestre</w:t>
      </w:r>
      <w:proofErr w:type="gramEnd"/>
      <w:r w:rsidRPr="000A24F2">
        <w:rPr>
          <w:rFonts w:asciiTheme="minorHAnsi" w:hAnsiTheme="minorHAnsi" w:cs="Arial"/>
          <w:b/>
          <w:sz w:val="30"/>
          <w:szCs w:val="30"/>
          <w:lang w:eastAsia="pt-BR"/>
        </w:rPr>
        <w:t xml:space="preserve"> </w:t>
      </w:r>
    </w:p>
    <w:p w14:paraId="7E5EDC11" w14:textId="3C53A75A" w:rsidR="000A24F2" w:rsidRPr="000A24F2" w:rsidRDefault="003566E7" w:rsidP="000A24F2">
      <w:pPr>
        <w:pStyle w:val="PargrafodaLista"/>
        <w:numPr>
          <w:ilvl w:val="0"/>
          <w:numId w:val="12"/>
        </w:numPr>
        <w:autoSpaceDE w:val="0"/>
        <w:autoSpaceDN w:val="0"/>
        <w:adjustRightInd w:val="0"/>
        <w:spacing w:after="0" w:line="360" w:lineRule="auto"/>
        <w:rPr>
          <w:rFonts w:cs="Arial"/>
          <w:i/>
          <w:sz w:val="24"/>
          <w:szCs w:val="24"/>
        </w:rPr>
      </w:pPr>
      <w:r w:rsidRPr="003566E7">
        <w:rPr>
          <w:rFonts w:cs="Arial"/>
          <w:i/>
          <w:sz w:val="24"/>
          <w:szCs w:val="24"/>
        </w:rPr>
        <w:t>Modalidade</w:t>
      </w:r>
      <w:r w:rsidR="000A24F2" w:rsidRPr="000A24F2">
        <w:rPr>
          <w:rFonts w:cs="Arial"/>
          <w:i/>
          <w:sz w:val="24"/>
          <w:szCs w:val="24"/>
        </w:rPr>
        <w:t xml:space="preserve"> de crédito CDC acompanhou tendência de queda em junho, </w:t>
      </w:r>
      <w:r w:rsidR="000A24F2">
        <w:rPr>
          <w:rFonts w:cs="Arial"/>
          <w:i/>
          <w:sz w:val="24"/>
          <w:szCs w:val="24"/>
        </w:rPr>
        <w:t>operando</w:t>
      </w:r>
      <w:r w:rsidR="000A24F2" w:rsidRPr="000A24F2">
        <w:rPr>
          <w:rFonts w:cs="Arial"/>
          <w:i/>
          <w:sz w:val="24"/>
          <w:szCs w:val="24"/>
        </w:rPr>
        <w:t xml:space="preserve"> na casa dos R$ 63 </w:t>
      </w:r>
      <w:proofErr w:type="gramStart"/>
      <w:r w:rsidR="000A24F2" w:rsidRPr="000A24F2">
        <w:rPr>
          <w:rFonts w:cs="Arial"/>
          <w:i/>
          <w:sz w:val="24"/>
          <w:szCs w:val="24"/>
        </w:rPr>
        <w:t>bilhões</w:t>
      </w:r>
      <w:proofErr w:type="gramEnd"/>
    </w:p>
    <w:p w14:paraId="182D7994" w14:textId="77777777" w:rsidR="000A24F2" w:rsidRPr="000A24F2" w:rsidRDefault="000A24F2" w:rsidP="000A24F2">
      <w:pPr>
        <w:pStyle w:val="PargrafodaLista"/>
        <w:numPr>
          <w:ilvl w:val="0"/>
          <w:numId w:val="12"/>
        </w:numPr>
        <w:autoSpaceDE w:val="0"/>
        <w:autoSpaceDN w:val="0"/>
        <w:adjustRightInd w:val="0"/>
        <w:spacing w:after="0" w:line="360" w:lineRule="auto"/>
        <w:rPr>
          <w:rFonts w:cs="Arial"/>
          <w:i/>
          <w:sz w:val="24"/>
          <w:szCs w:val="24"/>
        </w:rPr>
      </w:pPr>
      <w:r w:rsidRPr="000A24F2">
        <w:rPr>
          <w:rFonts w:cs="Arial"/>
          <w:i/>
          <w:sz w:val="24"/>
          <w:szCs w:val="24"/>
        </w:rPr>
        <w:t>Saldo total das carteiras de veículos demonstra fôlego e mantém alta de 16,7% em doze meses</w:t>
      </w:r>
    </w:p>
    <w:p w14:paraId="5EA8BF1C" w14:textId="173A5D10" w:rsidR="007D6812" w:rsidRPr="000A24F2" w:rsidRDefault="000A24F2" w:rsidP="000A24F2">
      <w:pPr>
        <w:pStyle w:val="PargrafodaLista"/>
        <w:numPr>
          <w:ilvl w:val="0"/>
          <w:numId w:val="12"/>
        </w:numPr>
        <w:autoSpaceDE w:val="0"/>
        <w:autoSpaceDN w:val="0"/>
        <w:adjustRightInd w:val="0"/>
        <w:spacing w:after="0" w:line="360" w:lineRule="auto"/>
        <w:rPr>
          <w:rFonts w:cs="Arial"/>
          <w:sz w:val="24"/>
          <w:szCs w:val="24"/>
        </w:rPr>
      </w:pPr>
      <w:r w:rsidRPr="000A24F2">
        <w:rPr>
          <w:rFonts w:cs="Arial"/>
          <w:i/>
          <w:sz w:val="24"/>
          <w:szCs w:val="24"/>
        </w:rPr>
        <w:t xml:space="preserve">Projeções indicam quedas nos indicadores para o ano, em contraste com aumentos contínuos observados desde 2017 no </w:t>
      </w:r>
      <w:proofErr w:type="gramStart"/>
      <w:r w:rsidRPr="000A24F2">
        <w:rPr>
          <w:rFonts w:cs="Arial"/>
          <w:i/>
          <w:sz w:val="24"/>
          <w:szCs w:val="24"/>
        </w:rPr>
        <w:t>setor</w:t>
      </w:r>
      <w:proofErr w:type="gramEnd"/>
    </w:p>
    <w:p w14:paraId="7CD0E141" w14:textId="77777777" w:rsidR="000A24F2" w:rsidRDefault="000A24F2" w:rsidP="000A24F2">
      <w:pPr>
        <w:pStyle w:val="PargrafodaLista"/>
        <w:autoSpaceDE w:val="0"/>
        <w:autoSpaceDN w:val="0"/>
        <w:adjustRightInd w:val="0"/>
        <w:spacing w:after="0" w:line="360" w:lineRule="auto"/>
        <w:ind w:left="720"/>
        <w:rPr>
          <w:rFonts w:cs="Arial"/>
          <w:sz w:val="24"/>
          <w:szCs w:val="24"/>
        </w:rPr>
      </w:pPr>
    </w:p>
    <w:p w14:paraId="3324D3DE" w14:textId="4BC33DDA" w:rsidR="000A24F2" w:rsidRPr="000A24F2" w:rsidRDefault="000A24F2" w:rsidP="000A24F2">
      <w:pPr>
        <w:autoSpaceDE w:val="0"/>
        <w:autoSpaceDN w:val="0"/>
        <w:adjustRightInd w:val="0"/>
        <w:spacing w:after="0" w:line="360" w:lineRule="auto"/>
        <w:jc w:val="both"/>
        <w:rPr>
          <w:rFonts w:cs="Arial"/>
          <w:sz w:val="24"/>
          <w:szCs w:val="24"/>
        </w:rPr>
      </w:pPr>
      <w:r w:rsidRPr="000A24F2">
        <w:rPr>
          <w:rFonts w:cs="Arial"/>
          <w:sz w:val="24"/>
          <w:szCs w:val="24"/>
        </w:rPr>
        <w:t>A ANEF (Associação Nacional das Empresas Financeiras das Montadoras) acaba de div</w:t>
      </w:r>
      <w:r w:rsidR="00A46EEB">
        <w:rPr>
          <w:rFonts w:cs="Arial"/>
          <w:sz w:val="24"/>
          <w:szCs w:val="24"/>
        </w:rPr>
        <w:t xml:space="preserve">ulgar o </w:t>
      </w:r>
      <w:proofErr w:type="gramStart"/>
      <w:r w:rsidR="00A46EEB">
        <w:rPr>
          <w:rFonts w:cs="Arial"/>
          <w:sz w:val="24"/>
          <w:szCs w:val="24"/>
        </w:rPr>
        <w:t>levantamento</w:t>
      </w:r>
      <w:proofErr w:type="gramEnd"/>
      <w:r w:rsidR="00A46EEB">
        <w:rPr>
          <w:rFonts w:cs="Arial"/>
          <w:sz w:val="24"/>
          <w:szCs w:val="24"/>
        </w:rPr>
        <w:t xml:space="preserve"> dos resultados</w:t>
      </w:r>
      <w:r w:rsidRPr="000A24F2">
        <w:rPr>
          <w:rFonts w:cs="Arial"/>
          <w:sz w:val="24"/>
          <w:szCs w:val="24"/>
        </w:rPr>
        <w:t xml:space="preserve"> alcançados pelas instituições financeiras do setor automotivo no primeiro semestre de 2020. O cenário traçado pelos indicadores retrata os impactos da crise decorrente da pandemia de COVID-19 no mercado de veículos, um dos mais afetados no período.</w:t>
      </w:r>
      <w:r w:rsidR="00C048F8">
        <w:rPr>
          <w:rFonts w:cs="Arial"/>
          <w:sz w:val="24"/>
          <w:szCs w:val="24"/>
        </w:rPr>
        <w:t xml:space="preserve"> </w:t>
      </w:r>
      <w:r w:rsidR="00C048F8" w:rsidRPr="00C048F8">
        <w:rPr>
          <w:rFonts w:cs="Arial"/>
          <w:sz w:val="24"/>
          <w:szCs w:val="24"/>
        </w:rPr>
        <w:t xml:space="preserve">Frente </w:t>
      </w:r>
      <w:r w:rsidR="00C048F8">
        <w:rPr>
          <w:rFonts w:cs="Arial"/>
          <w:sz w:val="24"/>
          <w:szCs w:val="24"/>
        </w:rPr>
        <w:t>à</w:t>
      </w:r>
      <w:r w:rsidR="00C048F8" w:rsidRPr="00C048F8">
        <w:rPr>
          <w:rFonts w:cs="Arial"/>
          <w:sz w:val="24"/>
          <w:szCs w:val="24"/>
        </w:rPr>
        <w:t xml:space="preserve"> nova conjuntura macroeconômica e do setor, a </w:t>
      </w:r>
      <w:r w:rsidR="00C048F8">
        <w:rPr>
          <w:rFonts w:cs="Arial"/>
          <w:sz w:val="24"/>
          <w:szCs w:val="24"/>
        </w:rPr>
        <w:t xml:space="preserve">entidade também </w:t>
      </w:r>
      <w:r w:rsidR="00C048F8" w:rsidRPr="00C048F8">
        <w:rPr>
          <w:rFonts w:cs="Arial"/>
          <w:sz w:val="24"/>
          <w:szCs w:val="24"/>
        </w:rPr>
        <w:t>reajustou as perspectivas para os recursos liberados de 24,3%, estimados em janeiro, para retração de 22,6% em 2020.</w:t>
      </w:r>
    </w:p>
    <w:p w14:paraId="26E0C018" w14:textId="77777777" w:rsidR="000A24F2" w:rsidRPr="000A24F2" w:rsidRDefault="000A24F2" w:rsidP="000A24F2">
      <w:pPr>
        <w:autoSpaceDE w:val="0"/>
        <w:autoSpaceDN w:val="0"/>
        <w:adjustRightInd w:val="0"/>
        <w:spacing w:after="0" w:line="360" w:lineRule="auto"/>
        <w:jc w:val="both"/>
        <w:rPr>
          <w:rFonts w:cs="Arial"/>
          <w:sz w:val="24"/>
          <w:szCs w:val="24"/>
        </w:rPr>
      </w:pPr>
    </w:p>
    <w:p w14:paraId="17362765" w14:textId="23833F6F" w:rsidR="000A24F2" w:rsidRPr="000A24F2" w:rsidRDefault="000A24F2" w:rsidP="000A24F2">
      <w:pPr>
        <w:autoSpaceDE w:val="0"/>
        <w:autoSpaceDN w:val="0"/>
        <w:adjustRightInd w:val="0"/>
        <w:spacing w:after="0" w:line="360" w:lineRule="auto"/>
        <w:jc w:val="both"/>
        <w:rPr>
          <w:rFonts w:cs="Arial"/>
          <w:sz w:val="24"/>
          <w:szCs w:val="24"/>
        </w:rPr>
      </w:pPr>
      <w:r w:rsidRPr="000A24F2">
        <w:rPr>
          <w:rFonts w:cs="Arial"/>
          <w:sz w:val="24"/>
          <w:szCs w:val="24"/>
        </w:rPr>
        <w:t>Nos seis primeiros meses do ano, houve um recuo de 12% no total acumulado de recursos liberados para financiamentos, com registro de R$ 63,7 bilhões frente aos R$ 72,3 bilhões atingidos em junho de 2019. O movimento de retração foi amenizado pelos bons resultados obtidos no primeiro trimestre de 2020, com crescimento de 13,3% no acumulado de doze meses, que in</w:t>
      </w:r>
      <w:r w:rsidR="00A46EEB">
        <w:rPr>
          <w:rFonts w:cs="Arial"/>
          <w:sz w:val="24"/>
          <w:szCs w:val="24"/>
        </w:rPr>
        <w:t>dicavam uma importante constância</w:t>
      </w:r>
      <w:r w:rsidRPr="000A24F2">
        <w:rPr>
          <w:rFonts w:cs="Arial"/>
          <w:sz w:val="24"/>
          <w:szCs w:val="24"/>
        </w:rPr>
        <w:t xml:space="preserve"> de alta, tanto do mercado automotivo</w:t>
      </w:r>
      <w:r w:rsidR="008C4882">
        <w:rPr>
          <w:rFonts w:cs="Arial"/>
          <w:sz w:val="24"/>
          <w:szCs w:val="24"/>
        </w:rPr>
        <w:t>,</w:t>
      </w:r>
      <w:r w:rsidRPr="000A24F2">
        <w:rPr>
          <w:rFonts w:cs="Arial"/>
          <w:sz w:val="24"/>
          <w:szCs w:val="24"/>
        </w:rPr>
        <w:t xml:space="preserve"> quanto da economia brasileira, com resultados positivos observados de forma contínua desde 2017. </w:t>
      </w:r>
    </w:p>
    <w:p w14:paraId="13921CE5" w14:textId="77777777" w:rsidR="000A24F2" w:rsidRPr="000A24F2" w:rsidRDefault="000A24F2" w:rsidP="000A24F2">
      <w:pPr>
        <w:autoSpaceDE w:val="0"/>
        <w:autoSpaceDN w:val="0"/>
        <w:adjustRightInd w:val="0"/>
        <w:spacing w:after="0" w:line="360" w:lineRule="auto"/>
        <w:jc w:val="both"/>
        <w:rPr>
          <w:rFonts w:cs="Arial"/>
          <w:sz w:val="24"/>
          <w:szCs w:val="24"/>
        </w:rPr>
      </w:pPr>
    </w:p>
    <w:p w14:paraId="676B3071" w14:textId="4440A65B" w:rsidR="000A24F2" w:rsidRPr="000A24F2" w:rsidRDefault="000A24F2" w:rsidP="000A24F2">
      <w:pPr>
        <w:autoSpaceDE w:val="0"/>
        <w:autoSpaceDN w:val="0"/>
        <w:adjustRightInd w:val="0"/>
        <w:spacing w:after="0" w:line="360" w:lineRule="auto"/>
        <w:jc w:val="both"/>
        <w:rPr>
          <w:rFonts w:cs="Arial"/>
          <w:sz w:val="24"/>
          <w:szCs w:val="24"/>
        </w:rPr>
      </w:pPr>
      <w:r w:rsidRPr="000A24F2">
        <w:rPr>
          <w:rFonts w:cs="Arial"/>
          <w:sz w:val="24"/>
          <w:szCs w:val="24"/>
        </w:rPr>
        <w:t xml:space="preserve">O fôlego do setor se reflete no saldo total das carteiras, que manteve aumento significativo, especialmente para a conjuntura do primeiro semestre, registrando R$262 bilhões. O número </w:t>
      </w:r>
      <w:r w:rsidRPr="000A24F2">
        <w:rPr>
          <w:rFonts w:cs="Arial"/>
          <w:sz w:val="24"/>
          <w:szCs w:val="24"/>
        </w:rPr>
        <w:lastRenderedPageBreak/>
        <w:t>representa crescimento de 16,7% no acumulado dos últimos doze meses frente ao registrado no mês de junho do ano passado</w:t>
      </w:r>
      <w:r w:rsidR="00810768">
        <w:rPr>
          <w:rFonts w:cs="Arial"/>
          <w:sz w:val="24"/>
          <w:szCs w:val="24"/>
        </w:rPr>
        <w:t>, mas deve ser visto com cuidado.</w:t>
      </w:r>
    </w:p>
    <w:p w14:paraId="162E422F" w14:textId="77777777" w:rsidR="000A24F2" w:rsidRPr="000A24F2" w:rsidRDefault="000A24F2" w:rsidP="000A24F2">
      <w:pPr>
        <w:autoSpaceDE w:val="0"/>
        <w:autoSpaceDN w:val="0"/>
        <w:adjustRightInd w:val="0"/>
        <w:spacing w:after="0" w:line="360" w:lineRule="auto"/>
        <w:jc w:val="both"/>
        <w:rPr>
          <w:rFonts w:cs="Arial"/>
          <w:sz w:val="24"/>
          <w:szCs w:val="24"/>
        </w:rPr>
      </w:pPr>
    </w:p>
    <w:p w14:paraId="07ADC478" w14:textId="3510DCAB" w:rsidR="000A24F2" w:rsidRPr="000A24F2" w:rsidRDefault="000A24F2" w:rsidP="000A24F2">
      <w:pPr>
        <w:autoSpaceDE w:val="0"/>
        <w:autoSpaceDN w:val="0"/>
        <w:adjustRightInd w:val="0"/>
        <w:spacing w:after="0" w:line="360" w:lineRule="auto"/>
        <w:jc w:val="both"/>
        <w:rPr>
          <w:rFonts w:cs="Arial"/>
          <w:sz w:val="24"/>
          <w:szCs w:val="24"/>
        </w:rPr>
      </w:pPr>
      <w:r w:rsidRPr="000A24F2">
        <w:rPr>
          <w:rFonts w:cs="Arial"/>
          <w:sz w:val="24"/>
          <w:szCs w:val="24"/>
        </w:rPr>
        <w:t>A</w:t>
      </w:r>
      <w:r w:rsidR="00810768">
        <w:rPr>
          <w:rFonts w:cs="Arial"/>
          <w:sz w:val="24"/>
          <w:szCs w:val="24"/>
        </w:rPr>
        <w:t xml:space="preserve"> </w:t>
      </w:r>
      <w:r w:rsidRPr="000A24F2">
        <w:rPr>
          <w:rFonts w:cs="Arial"/>
          <w:sz w:val="24"/>
          <w:szCs w:val="24"/>
        </w:rPr>
        <w:t xml:space="preserve">indústria automotiva, que já vinha passando por transformações importantes, terá de se adaptar e ser ainda mais inovadora para enfrentar os desafios trazidos em consequência da pandemia, alerta Paulo Noman, presidente da ANEF. "Os resultados das carteiras de crédito, ainda que positivos, infelizmente não representam a nova realidade do segmento e da economia como um todo. Os bons números atingidos no primeiro trimestre do ano </w:t>
      </w:r>
      <w:r w:rsidR="00810768" w:rsidRPr="000A24F2">
        <w:rPr>
          <w:rFonts w:cs="Arial"/>
          <w:sz w:val="24"/>
          <w:szCs w:val="24"/>
        </w:rPr>
        <w:t>contribu</w:t>
      </w:r>
      <w:r w:rsidR="00810768">
        <w:rPr>
          <w:rFonts w:cs="Arial"/>
          <w:sz w:val="24"/>
          <w:szCs w:val="24"/>
        </w:rPr>
        <w:t>íra</w:t>
      </w:r>
      <w:r w:rsidR="00810768" w:rsidRPr="000A24F2">
        <w:rPr>
          <w:rFonts w:cs="Arial"/>
          <w:sz w:val="24"/>
          <w:szCs w:val="24"/>
        </w:rPr>
        <w:t>m</w:t>
      </w:r>
      <w:r w:rsidRPr="000A24F2">
        <w:rPr>
          <w:rFonts w:cs="Arial"/>
          <w:sz w:val="24"/>
          <w:szCs w:val="24"/>
        </w:rPr>
        <w:t xml:space="preserve"> para segurar os indicadores, mas o período requer cautela", ressalta o executivo.</w:t>
      </w:r>
    </w:p>
    <w:p w14:paraId="3056D655" w14:textId="77777777" w:rsidR="000A24F2" w:rsidRPr="000A24F2" w:rsidRDefault="000A24F2" w:rsidP="000A24F2">
      <w:pPr>
        <w:autoSpaceDE w:val="0"/>
        <w:autoSpaceDN w:val="0"/>
        <w:adjustRightInd w:val="0"/>
        <w:spacing w:after="0" w:line="360" w:lineRule="auto"/>
        <w:jc w:val="both"/>
        <w:rPr>
          <w:rFonts w:cs="Arial"/>
          <w:sz w:val="24"/>
          <w:szCs w:val="24"/>
        </w:rPr>
      </w:pPr>
    </w:p>
    <w:p w14:paraId="49556D3C" w14:textId="003F8308" w:rsidR="000A24F2" w:rsidRDefault="004852DC" w:rsidP="006D77DA">
      <w:pPr>
        <w:autoSpaceDE w:val="0"/>
        <w:autoSpaceDN w:val="0"/>
        <w:adjustRightInd w:val="0"/>
        <w:spacing w:after="0" w:line="360" w:lineRule="auto"/>
        <w:jc w:val="both"/>
        <w:rPr>
          <w:rFonts w:cs="Arial"/>
          <w:sz w:val="24"/>
          <w:szCs w:val="24"/>
        </w:rPr>
      </w:pPr>
      <w:r w:rsidRPr="004852DC">
        <w:rPr>
          <w:rFonts w:cs="Arial"/>
          <w:sz w:val="24"/>
          <w:szCs w:val="24"/>
        </w:rPr>
        <w:t>Abril registrou o pior desempenho dos últimos doze meses, sendo o mais afetado pela crise até o momento. Foram liberados R$ 5,6 bilhões em recursos para o financiamento de veículos na modalidade CDC, o que representa uma queda de mais de 58%, se comparado ao mesmo mês do ano passado. Isolados, maio e junho apresentaram melhora gradativa, atingindo R$ 7,9 bilhões e R$ 11,6 bilhões, respectivamente</w:t>
      </w:r>
      <w:r>
        <w:rPr>
          <w:rFonts w:cs="Arial"/>
          <w:sz w:val="24"/>
          <w:szCs w:val="24"/>
        </w:rPr>
        <w:t>.</w:t>
      </w:r>
    </w:p>
    <w:p w14:paraId="258416FF" w14:textId="5773082E" w:rsidR="004852DC" w:rsidRDefault="004852DC" w:rsidP="006D77DA">
      <w:pPr>
        <w:autoSpaceDE w:val="0"/>
        <w:autoSpaceDN w:val="0"/>
        <w:adjustRightInd w:val="0"/>
        <w:spacing w:after="0" w:line="360" w:lineRule="auto"/>
        <w:jc w:val="both"/>
        <w:rPr>
          <w:rFonts w:cs="Arial"/>
          <w:sz w:val="24"/>
          <w:szCs w:val="24"/>
        </w:rPr>
      </w:pPr>
    </w:p>
    <w:p w14:paraId="398FA04D" w14:textId="15AC3D0E" w:rsidR="00C048F8" w:rsidRDefault="004852DC" w:rsidP="006D77DA">
      <w:pPr>
        <w:autoSpaceDE w:val="0"/>
        <w:autoSpaceDN w:val="0"/>
        <w:adjustRightInd w:val="0"/>
        <w:spacing w:after="0" w:line="360" w:lineRule="auto"/>
        <w:jc w:val="both"/>
        <w:rPr>
          <w:rFonts w:cs="Arial"/>
          <w:sz w:val="24"/>
          <w:szCs w:val="24"/>
        </w:rPr>
      </w:pPr>
      <w:r w:rsidRPr="00166E8B">
        <w:rPr>
          <w:rFonts w:cs="Arial"/>
          <w:sz w:val="24"/>
          <w:szCs w:val="24"/>
        </w:rPr>
        <w:t xml:space="preserve">Historicamente, </w:t>
      </w:r>
      <w:r>
        <w:rPr>
          <w:rFonts w:cs="Arial"/>
          <w:sz w:val="24"/>
          <w:szCs w:val="24"/>
        </w:rPr>
        <w:t xml:space="preserve">a participação das modalidades de crédito nas </w:t>
      </w:r>
      <w:r w:rsidRPr="00166E8B">
        <w:rPr>
          <w:rFonts w:cs="Arial"/>
          <w:sz w:val="24"/>
          <w:szCs w:val="24"/>
        </w:rPr>
        <w:t>vendas de veículos e comerciais leves no Brasil</w:t>
      </w:r>
      <w:r>
        <w:rPr>
          <w:rFonts w:cs="Arial"/>
          <w:sz w:val="24"/>
          <w:szCs w:val="24"/>
        </w:rPr>
        <w:t xml:space="preserve"> tem </w:t>
      </w:r>
      <w:r w:rsidRPr="00166E8B">
        <w:rPr>
          <w:rFonts w:cs="Arial"/>
          <w:sz w:val="24"/>
          <w:szCs w:val="24"/>
        </w:rPr>
        <w:t>mantido níveis estáveis</w:t>
      </w:r>
      <w:r>
        <w:rPr>
          <w:rFonts w:cs="Arial"/>
          <w:sz w:val="24"/>
          <w:szCs w:val="24"/>
        </w:rPr>
        <w:t xml:space="preserve">, com pagamento à vista representando </w:t>
      </w:r>
      <w:proofErr w:type="gramStart"/>
      <w:r>
        <w:rPr>
          <w:rFonts w:cs="Arial"/>
          <w:sz w:val="24"/>
          <w:szCs w:val="24"/>
        </w:rPr>
        <w:t>cerca de 45</w:t>
      </w:r>
      <w:proofErr w:type="gramEnd"/>
      <w:r>
        <w:rPr>
          <w:rFonts w:cs="Arial"/>
          <w:sz w:val="24"/>
          <w:szCs w:val="24"/>
        </w:rPr>
        <w:t xml:space="preserve">% e o CDC, 50% de todas as </w:t>
      </w:r>
      <w:r w:rsidR="00175741">
        <w:rPr>
          <w:rFonts w:cs="Arial"/>
          <w:sz w:val="24"/>
          <w:szCs w:val="24"/>
        </w:rPr>
        <w:t>aquisições</w:t>
      </w:r>
      <w:r>
        <w:rPr>
          <w:rFonts w:cs="Arial"/>
          <w:sz w:val="24"/>
          <w:szCs w:val="24"/>
        </w:rPr>
        <w:t xml:space="preserve">. Já </w:t>
      </w:r>
      <w:r w:rsidR="00175741">
        <w:rPr>
          <w:rFonts w:cs="Arial"/>
          <w:sz w:val="24"/>
          <w:szCs w:val="24"/>
        </w:rPr>
        <w:t>a dinâmica do</w:t>
      </w:r>
      <w:r>
        <w:rPr>
          <w:rFonts w:cs="Arial"/>
          <w:sz w:val="24"/>
          <w:szCs w:val="24"/>
        </w:rPr>
        <w:t xml:space="preserve"> mercado de caminhões e ônibus sofreu mudanças no primeiro semestre de 202</w:t>
      </w:r>
      <w:r w:rsidR="00175741">
        <w:rPr>
          <w:rFonts w:cs="Arial"/>
          <w:sz w:val="24"/>
          <w:szCs w:val="24"/>
        </w:rPr>
        <w:t xml:space="preserve">0. </w:t>
      </w:r>
      <w:r>
        <w:rPr>
          <w:rFonts w:cs="Arial"/>
          <w:sz w:val="24"/>
          <w:szCs w:val="24"/>
        </w:rPr>
        <w:t xml:space="preserve"> </w:t>
      </w:r>
      <w:r w:rsidR="00175741" w:rsidRPr="00175741">
        <w:rPr>
          <w:rFonts w:cs="Arial"/>
          <w:sz w:val="24"/>
          <w:szCs w:val="24"/>
        </w:rPr>
        <w:t xml:space="preserve">A representatividade do CDC caiu 12 pontos percentuais, de 60% ao final de 2019 para 48% em junho deste ano. </w:t>
      </w:r>
      <w:r w:rsidR="00A22295">
        <w:rPr>
          <w:rFonts w:cs="Arial"/>
          <w:sz w:val="24"/>
          <w:szCs w:val="24"/>
        </w:rPr>
        <w:t>Puxada pelos cortes históricos na taxa Selic, a</w:t>
      </w:r>
      <w:r w:rsidR="00175741" w:rsidRPr="00175741">
        <w:rPr>
          <w:rFonts w:cs="Arial"/>
          <w:sz w:val="24"/>
          <w:szCs w:val="24"/>
        </w:rPr>
        <w:t xml:space="preserve"> movimentação abriu espaço para o Finame, que obteve um incremento de 10 pontos percentuais no mesmo período, passando a escoar de 20% para 30% das vendas do segmento.</w:t>
      </w:r>
    </w:p>
    <w:p w14:paraId="0780B48E" w14:textId="6F9B67E7" w:rsidR="00C048F8" w:rsidRDefault="00C048F8" w:rsidP="006D77DA">
      <w:pPr>
        <w:autoSpaceDE w:val="0"/>
        <w:autoSpaceDN w:val="0"/>
        <w:adjustRightInd w:val="0"/>
        <w:spacing w:after="0" w:line="360" w:lineRule="auto"/>
        <w:jc w:val="both"/>
        <w:rPr>
          <w:rFonts w:cs="Arial"/>
          <w:sz w:val="24"/>
          <w:szCs w:val="24"/>
        </w:rPr>
      </w:pPr>
    </w:p>
    <w:p w14:paraId="13CBEE2C" w14:textId="62EE6C41" w:rsidR="00F91967" w:rsidRPr="00A22295" w:rsidRDefault="00C048F8" w:rsidP="00A22295">
      <w:pPr>
        <w:spacing w:after="0" w:line="360" w:lineRule="auto"/>
        <w:jc w:val="both"/>
        <w:rPr>
          <w:rFonts w:eastAsia="Times New Roman"/>
          <w:bCs/>
          <w:sz w:val="24"/>
          <w:szCs w:val="24"/>
        </w:rPr>
      </w:pPr>
      <w:r w:rsidRPr="00F91967">
        <w:rPr>
          <w:rFonts w:eastAsia="Times New Roman"/>
          <w:bCs/>
          <w:sz w:val="24"/>
          <w:szCs w:val="24"/>
        </w:rPr>
        <w:t>Com planos máximos mantidos em 60 meses, o prazo médio das concessões de crédito, ou seja, o período desde a contratação até o vencimento da última prestação</w:t>
      </w:r>
      <w:proofErr w:type="gramStart"/>
      <w:r w:rsidRPr="00F91967">
        <w:rPr>
          <w:rFonts w:eastAsia="Times New Roman"/>
          <w:bCs/>
          <w:sz w:val="24"/>
          <w:szCs w:val="24"/>
        </w:rPr>
        <w:t xml:space="preserve">, </w:t>
      </w:r>
      <w:r w:rsidR="00A22295">
        <w:rPr>
          <w:rFonts w:eastAsia="Times New Roman"/>
          <w:bCs/>
          <w:sz w:val="24"/>
          <w:szCs w:val="24"/>
        </w:rPr>
        <w:t>subiu</w:t>
      </w:r>
      <w:proofErr w:type="gramEnd"/>
      <w:r w:rsidR="00A22295">
        <w:rPr>
          <w:rFonts w:eastAsia="Times New Roman"/>
          <w:bCs/>
          <w:sz w:val="24"/>
          <w:szCs w:val="24"/>
        </w:rPr>
        <w:t xml:space="preserve"> </w:t>
      </w:r>
      <w:r w:rsidRPr="00F91967">
        <w:rPr>
          <w:rFonts w:eastAsia="Times New Roman"/>
          <w:bCs/>
          <w:sz w:val="24"/>
          <w:szCs w:val="24"/>
        </w:rPr>
        <w:t xml:space="preserve">de </w:t>
      </w:r>
      <w:r>
        <w:rPr>
          <w:rFonts w:eastAsia="Times New Roman"/>
          <w:bCs/>
          <w:sz w:val="24"/>
          <w:szCs w:val="24"/>
        </w:rPr>
        <w:t>44</w:t>
      </w:r>
      <w:r w:rsidRPr="00F91967">
        <w:rPr>
          <w:rFonts w:eastAsia="Times New Roman"/>
          <w:bCs/>
          <w:sz w:val="24"/>
          <w:szCs w:val="24"/>
        </w:rPr>
        <w:t xml:space="preserve"> meses em </w:t>
      </w:r>
      <w:r>
        <w:rPr>
          <w:rFonts w:eastAsia="Times New Roman"/>
          <w:bCs/>
          <w:sz w:val="24"/>
          <w:szCs w:val="24"/>
        </w:rPr>
        <w:t>junho</w:t>
      </w:r>
      <w:r w:rsidRPr="00F91967">
        <w:rPr>
          <w:rFonts w:eastAsia="Times New Roman"/>
          <w:bCs/>
          <w:sz w:val="24"/>
          <w:szCs w:val="24"/>
        </w:rPr>
        <w:t xml:space="preserve"> de 2019 para </w:t>
      </w:r>
      <w:r>
        <w:rPr>
          <w:rFonts w:eastAsia="Times New Roman"/>
          <w:bCs/>
          <w:sz w:val="24"/>
          <w:szCs w:val="24"/>
        </w:rPr>
        <w:t>44,4</w:t>
      </w:r>
      <w:r w:rsidRPr="00F91967">
        <w:rPr>
          <w:rFonts w:eastAsia="Times New Roman"/>
          <w:bCs/>
          <w:sz w:val="24"/>
          <w:szCs w:val="24"/>
        </w:rPr>
        <w:t xml:space="preserve"> no mesmo mês deste ano.</w:t>
      </w:r>
      <w:r w:rsidR="00A22295">
        <w:rPr>
          <w:rFonts w:eastAsia="Times New Roman"/>
          <w:bCs/>
          <w:sz w:val="24"/>
          <w:szCs w:val="24"/>
        </w:rPr>
        <w:t xml:space="preserve"> </w:t>
      </w:r>
      <w:r w:rsidR="00166E8B" w:rsidRPr="00166E8B">
        <w:rPr>
          <w:rFonts w:cs="Arial"/>
          <w:sz w:val="24"/>
          <w:szCs w:val="24"/>
        </w:rPr>
        <w:t xml:space="preserve">Segundo a análise de Noman, </w:t>
      </w:r>
      <w:r>
        <w:rPr>
          <w:rFonts w:cs="Arial"/>
          <w:sz w:val="24"/>
          <w:szCs w:val="24"/>
        </w:rPr>
        <w:t xml:space="preserve">a variação pode ser explicada </w:t>
      </w:r>
      <w:r w:rsidR="00A22295">
        <w:rPr>
          <w:rFonts w:cs="Arial"/>
          <w:sz w:val="24"/>
          <w:szCs w:val="24"/>
        </w:rPr>
        <w:t>ao considerar a influência do cenário imposto pela pandemia</w:t>
      </w:r>
      <w:r>
        <w:rPr>
          <w:rFonts w:cs="Arial"/>
          <w:sz w:val="24"/>
          <w:szCs w:val="24"/>
        </w:rPr>
        <w:t xml:space="preserve">. </w:t>
      </w:r>
      <w:r>
        <w:rPr>
          <w:rFonts w:cs="Arial"/>
          <w:sz w:val="24"/>
          <w:szCs w:val="24"/>
        </w:rPr>
        <w:lastRenderedPageBreak/>
        <w:t>“</w:t>
      </w:r>
      <w:r w:rsidR="00A22295">
        <w:rPr>
          <w:rFonts w:cs="Arial"/>
          <w:sz w:val="24"/>
          <w:szCs w:val="24"/>
        </w:rPr>
        <w:t xml:space="preserve">Neste momento, o consumidor está cauteloso, observando as diversas variáveis econômicas na hora de realizar investimentos que requerem descapitalização de recursos. A curva de queda nas taxas de juros também torna atrativos financiamentos com prazos mais longos, que devem aumentar nos próximos meses”, </w:t>
      </w:r>
      <w:r w:rsidR="00F91967" w:rsidRPr="00F91967">
        <w:rPr>
          <w:rFonts w:cs="Arial"/>
          <w:sz w:val="24"/>
          <w:szCs w:val="24"/>
        </w:rPr>
        <w:t>completa</w:t>
      </w:r>
      <w:r w:rsidR="00A22295">
        <w:rPr>
          <w:rFonts w:cs="Arial"/>
          <w:sz w:val="24"/>
          <w:szCs w:val="24"/>
        </w:rPr>
        <w:t xml:space="preserve"> o executivo</w:t>
      </w:r>
      <w:r w:rsidR="00F91967" w:rsidRPr="00F91967">
        <w:rPr>
          <w:rFonts w:cs="Arial"/>
          <w:sz w:val="24"/>
          <w:szCs w:val="24"/>
        </w:rPr>
        <w:t>.</w:t>
      </w:r>
    </w:p>
    <w:p w14:paraId="7DB9F3A2" w14:textId="11BB6586" w:rsidR="00EF2880" w:rsidRDefault="00EF2880" w:rsidP="005E7C36">
      <w:pPr>
        <w:spacing w:after="0" w:line="360" w:lineRule="auto"/>
        <w:jc w:val="both"/>
        <w:rPr>
          <w:rFonts w:eastAsia="Times New Roman"/>
          <w:b/>
          <w:bCs/>
          <w:sz w:val="24"/>
          <w:szCs w:val="24"/>
        </w:rPr>
      </w:pPr>
    </w:p>
    <w:p w14:paraId="5D328E82" w14:textId="376010A4" w:rsidR="002A3056" w:rsidRPr="002A3056" w:rsidRDefault="002A3056" w:rsidP="005E7C36">
      <w:pPr>
        <w:spacing w:after="0" w:line="360" w:lineRule="auto"/>
        <w:jc w:val="both"/>
        <w:rPr>
          <w:rFonts w:eastAsia="Times New Roman"/>
          <w:sz w:val="24"/>
          <w:szCs w:val="24"/>
        </w:rPr>
      </w:pPr>
      <w:r w:rsidRPr="002A3056">
        <w:rPr>
          <w:rFonts w:eastAsia="Times New Roman"/>
          <w:sz w:val="24"/>
          <w:szCs w:val="24"/>
        </w:rPr>
        <w:t xml:space="preserve">Foco de preocupação do mercado logo no início da crise, a inadimplência se manteve estável no primeiro semestre de 2020. Contrariando as expectativas, o indicador para pessoa física registrou alta de </w:t>
      </w:r>
      <w:r>
        <w:rPr>
          <w:rFonts w:eastAsia="Times New Roman"/>
          <w:sz w:val="24"/>
          <w:szCs w:val="24"/>
        </w:rPr>
        <w:t xml:space="preserve">apenas </w:t>
      </w:r>
      <w:proofErr w:type="gramStart"/>
      <w:r w:rsidRPr="002A3056">
        <w:rPr>
          <w:rFonts w:eastAsia="Times New Roman"/>
          <w:sz w:val="24"/>
          <w:szCs w:val="24"/>
        </w:rPr>
        <w:t>0,4 ponto</w:t>
      </w:r>
      <w:proofErr w:type="gramEnd"/>
      <w:r w:rsidRPr="002A3056">
        <w:rPr>
          <w:rFonts w:eastAsia="Times New Roman"/>
          <w:sz w:val="24"/>
          <w:szCs w:val="24"/>
        </w:rPr>
        <w:t xml:space="preserve"> percentual no acumulado de 12 meses. Isolado, o CDC, modalidade de crédito com mais representatividade</w:t>
      </w:r>
      <w:r>
        <w:rPr>
          <w:rFonts w:eastAsia="Times New Roman"/>
          <w:sz w:val="24"/>
          <w:szCs w:val="24"/>
        </w:rPr>
        <w:t xml:space="preserve"> no sistema financeiro</w:t>
      </w:r>
      <w:r w:rsidRPr="002A3056">
        <w:rPr>
          <w:rFonts w:eastAsia="Times New Roman"/>
          <w:sz w:val="24"/>
          <w:szCs w:val="24"/>
        </w:rPr>
        <w:t>, contou com aumento de um ponto percentual. Já a inadimplência de pessoa jurídica surpreende</w:t>
      </w:r>
      <w:r>
        <w:rPr>
          <w:rFonts w:eastAsia="Times New Roman"/>
          <w:sz w:val="24"/>
          <w:szCs w:val="24"/>
        </w:rPr>
        <w:t xml:space="preserve">u </w:t>
      </w:r>
      <w:r w:rsidR="009A3106">
        <w:rPr>
          <w:rFonts w:eastAsia="Times New Roman"/>
          <w:sz w:val="24"/>
          <w:szCs w:val="24"/>
        </w:rPr>
        <w:t>com</w:t>
      </w:r>
      <w:r>
        <w:rPr>
          <w:rFonts w:eastAsia="Times New Roman"/>
          <w:sz w:val="24"/>
          <w:szCs w:val="24"/>
        </w:rPr>
        <w:t xml:space="preserve"> </w:t>
      </w:r>
      <w:r w:rsidRPr="002A3056">
        <w:rPr>
          <w:rFonts w:eastAsia="Times New Roman"/>
          <w:sz w:val="24"/>
          <w:szCs w:val="24"/>
        </w:rPr>
        <w:t xml:space="preserve">queda de </w:t>
      </w:r>
      <w:proofErr w:type="gramStart"/>
      <w:r w:rsidRPr="002A3056">
        <w:rPr>
          <w:rFonts w:eastAsia="Times New Roman"/>
          <w:sz w:val="24"/>
          <w:szCs w:val="24"/>
        </w:rPr>
        <w:t>0,6 ponto</w:t>
      </w:r>
      <w:proofErr w:type="gramEnd"/>
      <w:r w:rsidRPr="002A3056">
        <w:rPr>
          <w:rFonts w:eastAsia="Times New Roman"/>
          <w:sz w:val="24"/>
          <w:szCs w:val="24"/>
        </w:rPr>
        <w:t xml:space="preserve"> percentual, </w:t>
      </w:r>
      <w:r w:rsidR="009A3106">
        <w:rPr>
          <w:rFonts w:eastAsia="Times New Roman"/>
          <w:sz w:val="24"/>
          <w:szCs w:val="24"/>
        </w:rPr>
        <w:t>em comparação com o</w:t>
      </w:r>
      <w:r w:rsidRPr="002A3056">
        <w:rPr>
          <w:rFonts w:eastAsia="Times New Roman"/>
          <w:sz w:val="24"/>
          <w:szCs w:val="24"/>
        </w:rPr>
        <w:t xml:space="preserve"> mesmo período do ano passado.</w:t>
      </w:r>
    </w:p>
    <w:p w14:paraId="61C49518" w14:textId="77777777" w:rsidR="003E02A8" w:rsidRDefault="003E02A8" w:rsidP="005E7C36">
      <w:pPr>
        <w:spacing w:after="0" w:line="360" w:lineRule="auto"/>
        <w:jc w:val="both"/>
        <w:rPr>
          <w:rFonts w:eastAsia="Times New Roman"/>
          <w:b/>
          <w:bCs/>
          <w:sz w:val="24"/>
          <w:szCs w:val="24"/>
        </w:rPr>
      </w:pPr>
    </w:p>
    <w:p w14:paraId="4D98B4AD" w14:textId="77777777" w:rsidR="00BE1D0D" w:rsidRPr="005E7C36" w:rsidRDefault="00BE1D0D" w:rsidP="005E7C36">
      <w:pPr>
        <w:spacing w:after="0" w:line="360" w:lineRule="auto"/>
        <w:jc w:val="both"/>
        <w:rPr>
          <w:rFonts w:eastAsia="Times New Roman"/>
          <w:sz w:val="24"/>
          <w:szCs w:val="24"/>
        </w:rPr>
      </w:pPr>
      <w:r w:rsidRPr="005E7C36">
        <w:rPr>
          <w:rFonts w:eastAsia="Times New Roman"/>
          <w:b/>
          <w:bCs/>
          <w:sz w:val="24"/>
          <w:szCs w:val="24"/>
        </w:rPr>
        <w:t>Sobre a ANEF</w:t>
      </w:r>
    </w:p>
    <w:p w14:paraId="76582D75" w14:textId="77777777" w:rsidR="00BE1D0D" w:rsidRPr="005E7C36" w:rsidRDefault="00BE1D0D" w:rsidP="005E7C36">
      <w:pPr>
        <w:spacing w:after="0" w:line="360" w:lineRule="auto"/>
        <w:jc w:val="both"/>
        <w:rPr>
          <w:rFonts w:eastAsia="Times New Roman"/>
          <w:sz w:val="24"/>
          <w:szCs w:val="24"/>
        </w:rPr>
      </w:pPr>
      <w:r w:rsidRPr="005E7C36">
        <w:rPr>
          <w:rFonts w:eastAsia="Times New Roman"/>
          <w:sz w:val="24"/>
          <w:szCs w:val="24"/>
        </w:rPr>
        <w:t>Fundada em 1993, a ANEF representa as suas marcas associadas junto aos órgãos do governo, de entidades de classe e associações congêneres, divulga, esclarece e presta informações, tanto à imprensa quanto aos consumidores em geral, sobre as modalidades de financiamentos – CDC (Crédito Direto ao Consumidor), Finame, Leasing e Consórcio –, nos segmentos de automóveis, ônibus, caminhões e motocicletas. A entidade representa, hoje, 1</w:t>
      </w:r>
      <w:r w:rsidR="00367C09">
        <w:rPr>
          <w:rFonts w:eastAsia="Times New Roman"/>
          <w:sz w:val="24"/>
          <w:szCs w:val="24"/>
        </w:rPr>
        <w:t>2</w:t>
      </w:r>
      <w:r w:rsidRPr="005E7C36">
        <w:rPr>
          <w:rFonts w:eastAsia="Times New Roman"/>
          <w:sz w:val="24"/>
          <w:szCs w:val="24"/>
        </w:rPr>
        <w:t xml:space="preserve"> marcas e suas respectivas estruturas de serviços financeiros, incluindo bancos, empresas de arrendamento mercantil e administradoras de consórcios vinculados à indústria automotiva.</w:t>
      </w:r>
    </w:p>
    <w:p w14:paraId="2FD4CED3" w14:textId="77777777" w:rsidR="00B9231A" w:rsidRPr="005E7C36" w:rsidRDefault="00B9231A" w:rsidP="005E7C36">
      <w:pPr>
        <w:spacing w:after="0" w:line="360" w:lineRule="auto"/>
        <w:jc w:val="both"/>
        <w:rPr>
          <w:rFonts w:eastAsia="Times New Roman"/>
          <w:sz w:val="24"/>
          <w:szCs w:val="24"/>
        </w:rPr>
      </w:pPr>
    </w:p>
    <w:p w14:paraId="120F4F18" w14:textId="77777777" w:rsidR="00944C85" w:rsidRPr="005E7C36" w:rsidRDefault="00E6356B" w:rsidP="005E7C36">
      <w:pPr>
        <w:spacing w:after="0" w:line="360" w:lineRule="auto"/>
        <w:rPr>
          <w:rFonts w:eastAsia="Times New Roman"/>
          <w:b/>
          <w:bCs/>
          <w:sz w:val="24"/>
          <w:szCs w:val="24"/>
        </w:rPr>
      </w:pPr>
      <w:r w:rsidRPr="005E7C36">
        <w:rPr>
          <w:rFonts w:eastAsia="Times New Roman"/>
          <w:b/>
          <w:bCs/>
          <w:sz w:val="24"/>
          <w:szCs w:val="24"/>
        </w:rPr>
        <w:t>ANEF</w:t>
      </w:r>
      <w:r w:rsidR="007557F6" w:rsidRPr="005E7C36">
        <w:rPr>
          <w:rFonts w:eastAsia="Times New Roman"/>
          <w:b/>
          <w:bCs/>
          <w:sz w:val="24"/>
          <w:szCs w:val="24"/>
        </w:rPr>
        <w:br/>
      </w:r>
      <w:r w:rsidRPr="005E7C36">
        <w:rPr>
          <w:rFonts w:eastAsia="Times New Roman"/>
          <w:b/>
          <w:bCs/>
          <w:sz w:val="24"/>
          <w:szCs w:val="24"/>
        </w:rPr>
        <w:t>Atendimento à Imprensa</w:t>
      </w:r>
      <w:r w:rsidR="007557F6" w:rsidRPr="005E7C36">
        <w:rPr>
          <w:rFonts w:eastAsia="Times New Roman"/>
          <w:b/>
          <w:bCs/>
          <w:sz w:val="24"/>
          <w:szCs w:val="24"/>
        </w:rPr>
        <w:br/>
      </w:r>
      <w:r w:rsidRPr="005E7C36">
        <w:rPr>
          <w:rFonts w:eastAsia="Times New Roman"/>
          <w:b/>
          <w:bCs/>
          <w:sz w:val="24"/>
          <w:szCs w:val="24"/>
        </w:rPr>
        <w:t>Printer Press Comunicação Corporativa</w:t>
      </w:r>
    </w:p>
    <w:p w14:paraId="705A0868" w14:textId="77777777" w:rsidR="00944C85" w:rsidRPr="00F908A6" w:rsidRDefault="00F908A6" w:rsidP="005E7C36">
      <w:pPr>
        <w:spacing w:after="0" w:line="360" w:lineRule="auto"/>
        <w:jc w:val="both"/>
        <w:rPr>
          <w:rFonts w:eastAsia="Times New Roman"/>
          <w:sz w:val="24"/>
          <w:szCs w:val="24"/>
          <w:lang w:val="en-US"/>
        </w:rPr>
      </w:pPr>
      <w:r w:rsidRPr="00F908A6">
        <w:rPr>
          <w:rFonts w:eastAsia="Times New Roman"/>
          <w:sz w:val="24"/>
          <w:szCs w:val="24"/>
          <w:lang w:val="en-US"/>
        </w:rPr>
        <w:t>Lilian Sanches</w:t>
      </w:r>
      <w:r w:rsidR="00E6356B" w:rsidRPr="00F908A6">
        <w:rPr>
          <w:rFonts w:eastAsia="Times New Roman"/>
          <w:sz w:val="24"/>
          <w:szCs w:val="24"/>
          <w:lang w:val="en-US"/>
        </w:rPr>
        <w:t xml:space="preserve"> (</w:t>
      </w:r>
      <w:hyperlink r:id="rId9" w:history="1">
        <w:r w:rsidRPr="00F908A6">
          <w:rPr>
            <w:rStyle w:val="Hyperlink"/>
            <w:rFonts w:eastAsia="Times New Roman"/>
            <w:sz w:val="24"/>
            <w:szCs w:val="24"/>
            <w:lang w:val="en-US"/>
          </w:rPr>
          <w:t>lilian.sanches@grupoprinter.com.br</w:t>
        </w:r>
      </w:hyperlink>
      <w:r w:rsidRPr="00F908A6">
        <w:rPr>
          <w:rFonts w:eastAsia="Times New Roman"/>
          <w:sz w:val="24"/>
          <w:szCs w:val="24"/>
          <w:lang w:val="en-US"/>
        </w:rPr>
        <w:t>) / 11.5582-1619</w:t>
      </w:r>
      <w:r w:rsidR="00E6356B" w:rsidRPr="00F908A6">
        <w:rPr>
          <w:rFonts w:eastAsia="Times New Roman"/>
          <w:sz w:val="24"/>
          <w:szCs w:val="24"/>
          <w:lang w:val="en-US"/>
        </w:rPr>
        <w:t xml:space="preserve"> / 99201.1497</w:t>
      </w:r>
    </w:p>
    <w:p w14:paraId="5A08B5C2" w14:textId="45141543" w:rsidR="002F2F63" w:rsidRPr="005E7C36" w:rsidRDefault="00A22295" w:rsidP="000452F1">
      <w:pPr>
        <w:spacing w:after="0" w:line="360" w:lineRule="auto"/>
        <w:jc w:val="both"/>
        <w:rPr>
          <w:rFonts w:cs="Arial"/>
          <w:b/>
          <w:sz w:val="24"/>
          <w:szCs w:val="24"/>
        </w:rPr>
      </w:pPr>
      <w:r>
        <w:rPr>
          <w:rFonts w:eastAsia="Times New Roman"/>
          <w:b/>
          <w:bCs/>
          <w:sz w:val="24"/>
          <w:szCs w:val="24"/>
        </w:rPr>
        <w:t>AGOSTO</w:t>
      </w:r>
      <w:r w:rsidR="002725F0">
        <w:rPr>
          <w:rFonts w:eastAsia="Times New Roman"/>
          <w:b/>
          <w:bCs/>
          <w:sz w:val="24"/>
          <w:szCs w:val="24"/>
        </w:rPr>
        <w:t>/2020</w:t>
      </w:r>
    </w:p>
    <w:sectPr w:rsidR="002F2F63" w:rsidRPr="005E7C36" w:rsidSect="00B26DFE">
      <w:headerReference w:type="default" r:id="rId10"/>
      <w:pgSz w:w="11906" w:h="16838"/>
      <w:pgMar w:top="2552" w:right="127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4AD3" w14:textId="77777777" w:rsidR="00F4330B" w:rsidRDefault="00F4330B" w:rsidP="00B22708">
      <w:pPr>
        <w:spacing w:after="0" w:line="240" w:lineRule="auto"/>
      </w:pPr>
      <w:r>
        <w:separator/>
      </w:r>
    </w:p>
  </w:endnote>
  <w:endnote w:type="continuationSeparator" w:id="0">
    <w:p w14:paraId="65D2D8B3" w14:textId="77777777" w:rsidR="00F4330B" w:rsidRDefault="00F4330B" w:rsidP="00B2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7B90" w14:textId="77777777" w:rsidR="00F4330B" w:rsidRDefault="00F4330B" w:rsidP="00B22708">
      <w:pPr>
        <w:spacing w:after="0" w:line="240" w:lineRule="auto"/>
      </w:pPr>
      <w:r>
        <w:separator/>
      </w:r>
    </w:p>
  </w:footnote>
  <w:footnote w:type="continuationSeparator" w:id="0">
    <w:p w14:paraId="304C2154" w14:textId="77777777" w:rsidR="00F4330B" w:rsidRDefault="00F4330B" w:rsidP="00B2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A9E4" w14:textId="77777777" w:rsidR="00707B01" w:rsidRPr="00DD19EF" w:rsidRDefault="00707B01" w:rsidP="00DD19EF">
    <w:pPr>
      <w:pStyle w:val="Cabealho"/>
    </w:pPr>
    <w:r>
      <w:rPr>
        <w:noProof/>
        <w:lang w:eastAsia="pt-BR"/>
      </w:rPr>
      <w:drawing>
        <wp:anchor distT="0" distB="0" distL="114300" distR="114300" simplePos="0" relativeHeight="251657728" behindDoc="1" locked="0" layoutInCell="1" allowOverlap="1" wp14:anchorId="3B0D1802" wp14:editId="005ED162">
          <wp:simplePos x="0" y="0"/>
          <wp:positionH relativeFrom="column">
            <wp:posOffset>3242310</wp:posOffset>
          </wp:positionH>
          <wp:positionV relativeFrom="paragraph">
            <wp:posOffset>-38100</wp:posOffset>
          </wp:positionV>
          <wp:extent cx="2444115" cy="570865"/>
          <wp:effectExtent l="19050" t="0" r="0" b="0"/>
          <wp:wrapThrough wrapText="bothSides">
            <wp:wrapPolygon edited="0">
              <wp:start x="-168" y="0"/>
              <wp:lineTo x="-168" y="20903"/>
              <wp:lineTo x="21549" y="20903"/>
              <wp:lineTo x="21549" y="0"/>
              <wp:lineTo x="-168" y="0"/>
            </wp:wrapPolygon>
          </wp:wrapThrough>
          <wp:docPr id="1" name="Imagem 1" descr="An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nef.jpg"/>
                  <pic:cNvPicPr>
                    <a:picLocks noChangeAspect="1" noChangeArrowheads="1"/>
                  </pic:cNvPicPr>
                </pic:nvPicPr>
                <pic:blipFill>
                  <a:blip r:embed="rId1"/>
                  <a:srcRect/>
                  <a:stretch>
                    <a:fillRect/>
                  </a:stretch>
                </pic:blipFill>
                <pic:spPr bwMode="auto">
                  <a:xfrm>
                    <a:off x="0" y="0"/>
                    <a:ext cx="2444115" cy="570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615"/>
    <w:multiLevelType w:val="hybridMultilevel"/>
    <w:tmpl w:val="3C26C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017B30"/>
    <w:multiLevelType w:val="hybridMultilevel"/>
    <w:tmpl w:val="5FCEC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D2026"/>
    <w:multiLevelType w:val="hybridMultilevel"/>
    <w:tmpl w:val="FC1C6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B07CA7"/>
    <w:multiLevelType w:val="hybridMultilevel"/>
    <w:tmpl w:val="B630C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7C1385"/>
    <w:multiLevelType w:val="hybridMultilevel"/>
    <w:tmpl w:val="3462E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F658E8"/>
    <w:multiLevelType w:val="hybridMultilevel"/>
    <w:tmpl w:val="1F6AA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721AFF"/>
    <w:multiLevelType w:val="hybridMultilevel"/>
    <w:tmpl w:val="E2A2D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4C5589"/>
    <w:multiLevelType w:val="hybridMultilevel"/>
    <w:tmpl w:val="80F22BD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33EC27E6"/>
    <w:multiLevelType w:val="hybridMultilevel"/>
    <w:tmpl w:val="DF0A0E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800360"/>
    <w:multiLevelType w:val="hybridMultilevel"/>
    <w:tmpl w:val="3D404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4C64BE"/>
    <w:multiLevelType w:val="hybridMultilevel"/>
    <w:tmpl w:val="1B6081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76DB798C"/>
    <w:multiLevelType w:val="hybridMultilevel"/>
    <w:tmpl w:val="98DE1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10"/>
  </w:num>
  <w:num w:numId="8">
    <w:abstractNumId w:val="7"/>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C5"/>
    <w:rsid w:val="00003C9E"/>
    <w:rsid w:val="000146C5"/>
    <w:rsid w:val="000176D3"/>
    <w:rsid w:val="00017AA8"/>
    <w:rsid w:val="0002580E"/>
    <w:rsid w:val="00027491"/>
    <w:rsid w:val="00030C03"/>
    <w:rsid w:val="0003419F"/>
    <w:rsid w:val="00040D9F"/>
    <w:rsid w:val="00043632"/>
    <w:rsid w:val="0004399C"/>
    <w:rsid w:val="000452F1"/>
    <w:rsid w:val="000466B9"/>
    <w:rsid w:val="00051526"/>
    <w:rsid w:val="0005255F"/>
    <w:rsid w:val="000525F3"/>
    <w:rsid w:val="00054B15"/>
    <w:rsid w:val="00054D6F"/>
    <w:rsid w:val="00060113"/>
    <w:rsid w:val="00060BAD"/>
    <w:rsid w:val="00060D4A"/>
    <w:rsid w:val="00062664"/>
    <w:rsid w:val="00062AF4"/>
    <w:rsid w:val="00062C1F"/>
    <w:rsid w:val="0006386A"/>
    <w:rsid w:val="00063CF1"/>
    <w:rsid w:val="00067071"/>
    <w:rsid w:val="00070BDF"/>
    <w:rsid w:val="000719A2"/>
    <w:rsid w:val="000777B6"/>
    <w:rsid w:val="00080B62"/>
    <w:rsid w:val="000840DB"/>
    <w:rsid w:val="00084B9E"/>
    <w:rsid w:val="00084DD7"/>
    <w:rsid w:val="000851DA"/>
    <w:rsid w:val="0008640E"/>
    <w:rsid w:val="00087953"/>
    <w:rsid w:val="00090EB4"/>
    <w:rsid w:val="00091F98"/>
    <w:rsid w:val="00095654"/>
    <w:rsid w:val="000963D7"/>
    <w:rsid w:val="000A24F2"/>
    <w:rsid w:val="000A2892"/>
    <w:rsid w:val="000A3A33"/>
    <w:rsid w:val="000A40BB"/>
    <w:rsid w:val="000B026D"/>
    <w:rsid w:val="000B0CE0"/>
    <w:rsid w:val="000B7EDF"/>
    <w:rsid w:val="000C0402"/>
    <w:rsid w:val="000C0C9D"/>
    <w:rsid w:val="000C53C7"/>
    <w:rsid w:val="000C54B8"/>
    <w:rsid w:val="000C6177"/>
    <w:rsid w:val="000C6A37"/>
    <w:rsid w:val="000D02FA"/>
    <w:rsid w:val="000D045F"/>
    <w:rsid w:val="000D0B47"/>
    <w:rsid w:val="000D1138"/>
    <w:rsid w:val="000D5256"/>
    <w:rsid w:val="000D6B6D"/>
    <w:rsid w:val="000E03A6"/>
    <w:rsid w:val="000E041C"/>
    <w:rsid w:val="000E08AA"/>
    <w:rsid w:val="000E15AA"/>
    <w:rsid w:val="000E2E09"/>
    <w:rsid w:val="000E4E66"/>
    <w:rsid w:val="000E54A5"/>
    <w:rsid w:val="000E581A"/>
    <w:rsid w:val="000E5E02"/>
    <w:rsid w:val="000E6731"/>
    <w:rsid w:val="000E79B9"/>
    <w:rsid w:val="000E7BDD"/>
    <w:rsid w:val="000F02B4"/>
    <w:rsid w:val="000F12F9"/>
    <w:rsid w:val="000F2618"/>
    <w:rsid w:val="000F319B"/>
    <w:rsid w:val="000F5F81"/>
    <w:rsid w:val="0010727F"/>
    <w:rsid w:val="001072AD"/>
    <w:rsid w:val="001104A5"/>
    <w:rsid w:val="001138EA"/>
    <w:rsid w:val="00114DF6"/>
    <w:rsid w:val="00116895"/>
    <w:rsid w:val="00116F59"/>
    <w:rsid w:val="0012099F"/>
    <w:rsid w:val="00120B8B"/>
    <w:rsid w:val="00120CEB"/>
    <w:rsid w:val="001216C9"/>
    <w:rsid w:val="00122411"/>
    <w:rsid w:val="001244C0"/>
    <w:rsid w:val="00126A9F"/>
    <w:rsid w:val="00126B91"/>
    <w:rsid w:val="00131BAD"/>
    <w:rsid w:val="00131D38"/>
    <w:rsid w:val="0013280F"/>
    <w:rsid w:val="001435A3"/>
    <w:rsid w:val="00143E12"/>
    <w:rsid w:val="00144AF0"/>
    <w:rsid w:val="00145AC7"/>
    <w:rsid w:val="00145E8E"/>
    <w:rsid w:val="00151344"/>
    <w:rsid w:val="001527EE"/>
    <w:rsid w:val="001559BC"/>
    <w:rsid w:val="00156B7B"/>
    <w:rsid w:val="00157460"/>
    <w:rsid w:val="00157756"/>
    <w:rsid w:val="00162065"/>
    <w:rsid w:val="00162696"/>
    <w:rsid w:val="001642E3"/>
    <w:rsid w:val="00165727"/>
    <w:rsid w:val="00165D4B"/>
    <w:rsid w:val="00166E8B"/>
    <w:rsid w:val="00172E73"/>
    <w:rsid w:val="00173F25"/>
    <w:rsid w:val="00174EC1"/>
    <w:rsid w:val="00174F28"/>
    <w:rsid w:val="0017553C"/>
    <w:rsid w:val="00175741"/>
    <w:rsid w:val="00180AD3"/>
    <w:rsid w:val="00184E2A"/>
    <w:rsid w:val="00185C45"/>
    <w:rsid w:val="00185EC1"/>
    <w:rsid w:val="0018609A"/>
    <w:rsid w:val="00191DC3"/>
    <w:rsid w:val="00192877"/>
    <w:rsid w:val="00194CF0"/>
    <w:rsid w:val="001B0EA4"/>
    <w:rsid w:val="001B36FD"/>
    <w:rsid w:val="001B44C4"/>
    <w:rsid w:val="001C1F34"/>
    <w:rsid w:val="001C334A"/>
    <w:rsid w:val="001C5991"/>
    <w:rsid w:val="001C7131"/>
    <w:rsid w:val="001C74BB"/>
    <w:rsid w:val="001D0AA2"/>
    <w:rsid w:val="001D1306"/>
    <w:rsid w:val="001D4D23"/>
    <w:rsid w:val="001D65F2"/>
    <w:rsid w:val="001E006A"/>
    <w:rsid w:val="001E1345"/>
    <w:rsid w:val="001E6342"/>
    <w:rsid w:val="001F0991"/>
    <w:rsid w:val="001F1462"/>
    <w:rsid w:val="001F28CD"/>
    <w:rsid w:val="001F37A1"/>
    <w:rsid w:val="001F3BCD"/>
    <w:rsid w:val="001F3C13"/>
    <w:rsid w:val="001F576A"/>
    <w:rsid w:val="001F6527"/>
    <w:rsid w:val="002047DE"/>
    <w:rsid w:val="00204F50"/>
    <w:rsid w:val="00205E74"/>
    <w:rsid w:val="002068FD"/>
    <w:rsid w:val="00206A4F"/>
    <w:rsid w:val="00207303"/>
    <w:rsid w:val="00207607"/>
    <w:rsid w:val="00207641"/>
    <w:rsid w:val="00211EC4"/>
    <w:rsid w:val="00212A86"/>
    <w:rsid w:val="00216032"/>
    <w:rsid w:val="00216F5D"/>
    <w:rsid w:val="0023283C"/>
    <w:rsid w:val="0023285D"/>
    <w:rsid w:val="002335E7"/>
    <w:rsid w:val="00241997"/>
    <w:rsid w:val="00243C80"/>
    <w:rsid w:val="00244C96"/>
    <w:rsid w:val="002468EB"/>
    <w:rsid w:val="002537C4"/>
    <w:rsid w:val="00254C8A"/>
    <w:rsid w:val="0025732C"/>
    <w:rsid w:val="002575B5"/>
    <w:rsid w:val="0026496B"/>
    <w:rsid w:val="002725F0"/>
    <w:rsid w:val="00272B1D"/>
    <w:rsid w:val="002758A6"/>
    <w:rsid w:val="002759F4"/>
    <w:rsid w:val="00276B62"/>
    <w:rsid w:val="002770E8"/>
    <w:rsid w:val="0028368E"/>
    <w:rsid w:val="0028371D"/>
    <w:rsid w:val="0028406E"/>
    <w:rsid w:val="00285C03"/>
    <w:rsid w:val="00287653"/>
    <w:rsid w:val="00293AE9"/>
    <w:rsid w:val="0029795C"/>
    <w:rsid w:val="0029796A"/>
    <w:rsid w:val="002A3056"/>
    <w:rsid w:val="002B0283"/>
    <w:rsid w:val="002B192E"/>
    <w:rsid w:val="002B3419"/>
    <w:rsid w:val="002B5D5E"/>
    <w:rsid w:val="002B6122"/>
    <w:rsid w:val="002B63A7"/>
    <w:rsid w:val="002B6C41"/>
    <w:rsid w:val="002C1EDD"/>
    <w:rsid w:val="002C3283"/>
    <w:rsid w:val="002C49D3"/>
    <w:rsid w:val="002C541A"/>
    <w:rsid w:val="002C7B22"/>
    <w:rsid w:val="002D57C6"/>
    <w:rsid w:val="002D6574"/>
    <w:rsid w:val="002D6B87"/>
    <w:rsid w:val="002E0298"/>
    <w:rsid w:val="002E19E3"/>
    <w:rsid w:val="002E5116"/>
    <w:rsid w:val="002E6DAF"/>
    <w:rsid w:val="002F1DF6"/>
    <w:rsid w:val="002F2273"/>
    <w:rsid w:val="002F2F63"/>
    <w:rsid w:val="002F373B"/>
    <w:rsid w:val="002F3B90"/>
    <w:rsid w:val="002F69A5"/>
    <w:rsid w:val="002F7BA1"/>
    <w:rsid w:val="00300407"/>
    <w:rsid w:val="00302213"/>
    <w:rsid w:val="00304D62"/>
    <w:rsid w:val="0031499F"/>
    <w:rsid w:val="00315BAE"/>
    <w:rsid w:val="00323113"/>
    <w:rsid w:val="00323CE9"/>
    <w:rsid w:val="00330A92"/>
    <w:rsid w:val="003310E9"/>
    <w:rsid w:val="00334F16"/>
    <w:rsid w:val="0033770A"/>
    <w:rsid w:val="003401D4"/>
    <w:rsid w:val="00341C5D"/>
    <w:rsid w:val="003426BF"/>
    <w:rsid w:val="00343FB1"/>
    <w:rsid w:val="00345C6D"/>
    <w:rsid w:val="00346BD5"/>
    <w:rsid w:val="003477B6"/>
    <w:rsid w:val="00347DB6"/>
    <w:rsid w:val="00354433"/>
    <w:rsid w:val="00354AB7"/>
    <w:rsid w:val="00356149"/>
    <w:rsid w:val="00356435"/>
    <w:rsid w:val="003566E7"/>
    <w:rsid w:val="00357E34"/>
    <w:rsid w:val="0036067F"/>
    <w:rsid w:val="00360730"/>
    <w:rsid w:val="00362E9B"/>
    <w:rsid w:val="00363A57"/>
    <w:rsid w:val="00365F4D"/>
    <w:rsid w:val="00367C09"/>
    <w:rsid w:val="0037170F"/>
    <w:rsid w:val="0038245C"/>
    <w:rsid w:val="00382C02"/>
    <w:rsid w:val="003851D0"/>
    <w:rsid w:val="00386B41"/>
    <w:rsid w:val="003875C7"/>
    <w:rsid w:val="00387A0E"/>
    <w:rsid w:val="00393B9F"/>
    <w:rsid w:val="00395AEC"/>
    <w:rsid w:val="00396F7D"/>
    <w:rsid w:val="003A0AC4"/>
    <w:rsid w:val="003A0F24"/>
    <w:rsid w:val="003A3BE1"/>
    <w:rsid w:val="003A5FDC"/>
    <w:rsid w:val="003B3B22"/>
    <w:rsid w:val="003B3ED3"/>
    <w:rsid w:val="003B622C"/>
    <w:rsid w:val="003B6D23"/>
    <w:rsid w:val="003C1DE4"/>
    <w:rsid w:val="003C411F"/>
    <w:rsid w:val="003C4D47"/>
    <w:rsid w:val="003C4F08"/>
    <w:rsid w:val="003C55DA"/>
    <w:rsid w:val="003C667F"/>
    <w:rsid w:val="003C7115"/>
    <w:rsid w:val="003D2E57"/>
    <w:rsid w:val="003D2FBC"/>
    <w:rsid w:val="003D76A0"/>
    <w:rsid w:val="003E02A8"/>
    <w:rsid w:val="003E2E54"/>
    <w:rsid w:val="003E3529"/>
    <w:rsid w:val="003E3DC1"/>
    <w:rsid w:val="003E428B"/>
    <w:rsid w:val="003E4CFE"/>
    <w:rsid w:val="003E516C"/>
    <w:rsid w:val="003F052C"/>
    <w:rsid w:val="003F09AE"/>
    <w:rsid w:val="003F0E20"/>
    <w:rsid w:val="003F1D4D"/>
    <w:rsid w:val="003F3B68"/>
    <w:rsid w:val="003F3F3B"/>
    <w:rsid w:val="003F4849"/>
    <w:rsid w:val="004025C2"/>
    <w:rsid w:val="0040412A"/>
    <w:rsid w:val="00404C50"/>
    <w:rsid w:val="004077AF"/>
    <w:rsid w:val="00415012"/>
    <w:rsid w:val="00415D61"/>
    <w:rsid w:val="00416EB9"/>
    <w:rsid w:val="00417C89"/>
    <w:rsid w:val="004206A4"/>
    <w:rsid w:val="00422E05"/>
    <w:rsid w:val="004246CA"/>
    <w:rsid w:val="004258ED"/>
    <w:rsid w:val="00427971"/>
    <w:rsid w:val="00431DAF"/>
    <w:rsid w:val="00431DF2"/>
    <w:rsid w:val="004348E5"/>
    <w:rsid w:val="004371FB"/>
    <w:rsid w:val="004409C6"/>
    <w:rsid w:val="00442940"/>
    <w:rsid w:val="00444110"/>
    <w:rsid w:val="0044502F"/>
    <w:rsid w:val="00445459"/>
    <w:rsid w:val="00445C9B"/>
    <w:rsid w:val="0044600F"/>
    <w:rsid w:val="00450DC2"/>
    <w:rsid w:val="00451CE6"/>
    <w:rsid w:val="0045221F"/>
    <w:rsid w:val="00452D43"/>
    <w:rsid w:val="00454984"/>
    <w:rsid w:val="00456446"/>
    <w:rsid w:val="00461B42"/>
    <w:rsid w:val="00464A44"/>
    <w:rsid w:val="00472C73"/>
    <w:rsid w:val="0047519F"/>
    <w:rsid w:val="004804EF"/>
    <w:rsid w:val="00482ABB"/>
    <w:rsid w:val="004852DC"/>
    <w:rsid w:val="00486ADE"/>
    <w:rsid w:val="0049151F"/>
    <w:rsid w:val="00491F66"/>
    <w:rsid w:val="004930AA"/>
    <w:rsid w:val="00493AC1"/>
    <w:rsid w:val="00494214"/>
    <w:rsid w:val="004945F6"/>
    <w:rsid w:val="00494B6A"/>
    <w:rsid w:val="004A195D"/>
    <w:rsid w:val="004A2D3A"/>
    <w:rsid w:val="004A3ED4"/>
    <w:rsid w:val="004A4B33"/>
    <w:rsid w:val="004A6115"/>
    <w:rsid w:val="004B08A8"/>
    <w:rsid w:val="004B2CF9"/>
    <w:rsid w:val="004B78F7"/>
    <w:rsid w:val="004C180D"/>
    <w:rsid w:val="004C1C9D"/>
    <w:rsid w:val="004D0529"/>
    <w:rsid w:val="004D0ACF"/>
    <w:rsid w:val="004D1165"/>
    <w:rsid w:val="004D2AD1"/>
    <w:rsid w:val="004E0332"/>
    <w:rsid w:val="004E0AD2"/>
    <w:rsid w:val="004F19CB"/>
    <w:rsid w:val="004F1A17"/>
    <w:rsid w:val="004F3832"/>
    <w:rsid w:val="004F52CC"/>
    <w:rsid w:val="004F631E"/>
    <w:rsid w:val="004F6379"/>
    <w:rsid w:val="004F7397"/>
    <w:rsid w:val="00501C16"/>
    <w:rsid w:val="005034C5"/>
    <w:rsid w:val="00505451"/>
    <w:rsid w:val="005057C6"/>
    <w:rsid w:val="00505968"/>
    <w:rsid w:val="00507207"/>
    <w:rsid w:val="00512EF8"/>
    <w:rsid w:val="0051415A"/>
    <w:rsid w:val="00517186"/>
    <w:rsid w:val="0052011F"/>
    <w:rsid w:val="0052235A"/>
    <w:rsid w:val="0052554D"/>
    <w:rsid w:val="00525DB9"/>
    <w:rsid w:val="00530B48"/>
    <w:rsid w:val="0053329A"/>
    <w:rsid w:val="005336DE"/>
    <w:rsid w:val="00543655"/>
    <w:rsid w:val="00547638"/>
    <w:rsid w:val="00547BAA"/>
    <w:rsid w:val="00554076"/>
    <w:rsid w:val="00560487"/>
    <w:rsid w:val="0056402E"/>
    <w:rsid w:val="00564A63"/>
    <w:rsid w:val="005700FE"/>
    <w:rsid w:val="005701CD"/>
    <w:rsid w:val="00572832"/>
    <w:rsid w:val="005753AE"/>
    <w:rsid w:val="005806F7"/>
    <w:rsid w:val="00585ED1"/>
    <w:rsid w:val="005874DF"/>
    <w:rsid w:val="00587BBE"/>
    <w:rsid w:val="00590D84"/>
    <w:rsid w:val="00595725"/>
    <w:rsid w:val="00596DD7"/>
    <w:rsid w:val="005A329D"/>
    <w:rsid w:val="005A3832"/>
    <w:rsid w:val="005A51DA"/>
    <w:rsid w:val="005A5563"/>
    <w:rsid w:val="005B21CB"/>
    <w:rsid w:val="005B22F8"/>
    <w:rsid w:val="005B3FAC"/>
    <w:rsid w:val="005B7CE7"/>
    <w:rsid w:val="005C2000"/>
    <w:rsid w:val="005C67E9"/>
    <w:rsid w:val="005C69E3"/>
    <w:rsid w:val="005C7368"/>
    <w:rsid w:val="005D2035"/>
    <w:rsid w:val="005D361F"/>
    <w:rsid w:val="005E0428"/>
    <w:rsid w:val="005E0936"/>
    <w:rsid w:val="005E3263"/>
    <w:rsid w:val="005E487A"/>
    <w:rsid w:val="005E7C36"/>
    <w:rsid w:val="005E7DE5"/>
    <w:rsid w:val="005F2198"/>
    <w:rsid w:val="005F36A4"/>
    <w:rsid w:val="005F4BC6"/>
    <w:rsid w:val="005F65F4"/>
    <w:rsid w:val="00601674"/>
    <w:rsid w:val="00603392"/>
    <w:rsid w:val="00603E13"/>
    <w:rsid w:val="00606C5F"/>
    <w:rsid w:val="0060718C"/>
    <w:rsid w:val="006076CD"/>
    <w:rsid w:val="00607AF8"/>
    <w:rsid w:val="0061060D"/>
    <w:rsid w:val="00610CA9"/>
    <w:rsid w:val="00612336"/>
    <w:rsid w:val="00612A53"/>
    <w:rsid w:val="00612C62"/>
    <w:rsid w:val="00616297"/>
    <w:rsid w:val="006174AB"/>
    <w:rsid w:val="00620F59"/>
    <w:rsid w:val="00621B79"/>
    <w:rsid w:val="0062626C"/>
    <w:rsid w:val="0062752C"/>
    <w:rsid w:val="00627768"/>
    <w:rsid w:val="00631C96"/>
    <w:rsid w:val="00633ED9"/>
    <w:rsid w:val="0063471C"/>
    <w:rsid w:val="00637C01"/>
    <w:rsid w:val="00637CD7"/>
    <w:rsid w:val="00637D80"/>
    <w:rsid w:val="00645487"/>
    <w:rsid w:val="0065024C"/>
    <w:rsid w:val="00651397"/>
    <w:rsid w:val="00653804"/>
    <w:rsid w:val="006547C1"/>
    <w:rsid w:val="00655CD7"/>
    <w:rsid w:val="00655D05"/>
    <w:rsid w:val="00657C72"/>
    <w:rsid w:val="00665DE4"/>
    <w:rsid w:val="00670D48"/>
    <w:rsid w:val="006710BC"/>
    <w:rsid w:val="00672430"/>
    <w:rsid w:val="00674C72"/>
    <w:rsid w:val="00681B32"/>
    <w:rsid w:val="006828DC"/>
    <w:rsid w:val="006911E6"/>
    <w:rsid w:val="006943D1"/>
    <w:rsid w:val="00696A6D"/>
    <w:rsid w:val="006A0C20"/>
    <w:rsid w:val="006B0AEC"/>
    <w:rsid w:val="006B2632"/>
    <w:rsid w:val="006B62EC"/>
    <w:rsid w:val="006C0FCD"/>
    <w:rsid w:val="006C359F"/>
    <w:rsid w:val="006C5D6D"/>
    <w:rsid w:val="006D0789"/>
    <w:rsid w:val="006D2585"/>
    <w:rsid w:val="006D77DA"/>
    <w:rsid w:val="006D7D5A"/>
    <w:rsid w:val="006E05AF"/>
    <w:rsid w:val="006E1CE2"/>
    <w:rsid w:val="006E46EE"/>
    <w:rsid w:val="006E5251"/>
    <w:rsid w:val="006E7305"/>
    <w:rsid w:val="006F3949"/>
    <w:rsid w:val="006F5B36"/>
    <w:rsid w:val="007010D5"/>
    <w:rsid w:val="00702B2B"/>
    <w:rsid w:val="00703A91"/>
    <w:rsid w:val="007043F5"/>
    <w:rsid w:val="00707B01"/>
    <w:rsid w:val="00711383"/>
    <w:rsid w:val="0071148E"/>
    <w:rsid w:val="0071365B"/>
    <w:rsid w:val="00714627"/>
    <w:rsid w:val="00714D7F"/>
    <w:rsid w:val="00715791"/>
    <w:rsid w:val="00725164"/>
    <w:rsid w:val="007311DE"/>
    <w:rsid w:val="007313BA"/>
    <w:rsid w:val="00731436"/>
    <w:rsid w:val="00733E77"/>
    <w:rsid w:val="0074540B"/>
    <w:rsid w:val="00746987"/>
    <w:rsid w:val="00747D6D"/>
    <w:rsid w:val="0075140B"/>
    <w:rsid w:val="00752DA2"/>
    <w:rsid w:val="007533A4"/>
    <w:rsid w:val="007557F6"/>
    <w:rsid w:val="00756686"/>
    <w:rsid w:val="007657BC"/>
    <w:rsid w:val="007662A4"/>
    <w:rsid w:val="00771C61"/>
    <w:rsid w:val="00775609"/>
    <w:rsid w:val="00777C0E"/>
    <w:rsid w:val="0078337B"/>
    <w:rsid w:val="007833B6"/>
    <w:rsid w:val="00787572"/>
    <w:rsid w:val="007914F0"/>
    <w:rsid w:val="00793666"/>
    <w:rsid w:val="00795059"/>
    <w:rsid w:val="00797158"/>
    <w:rsid w:val="007972F6"/>
    <w:rsid w:val="007A0532"/>
    <w:rsid w:val="007B1C31"/>
    <w:rsid w:val="007B4B64"/>
    <w:rsid w:val="007C3F04"/>
    <w:rsid w:val="007C40EB"/>
    <w:rsid w:val="007C4985"/>
    <w:rsid w:val="007C5086"/>
    <w:rsid w:val="007C653E"/>
    <w:rsid w:val="007C72E5"/>
    <w:rsid w:val="007D5639"/>
    <w:rsid w:val="007D6812"/>
    <w:rsid w:val="007E3FE3"/>
    <w:rsid w:val="007E4791"/>
    <w:rsid w:val="007E616B"/>
    <w:rsid w:val="007F5973"/>
    <w:rsid w:val="007F61A3"/>
    <w:rsid w:val="007F7153"/>
    <w:rsid w:val="007F7CA9"/>
    <w:rsid w:val="00801E18"/>
    <w:rsid w:val="008039AE"/>
    <w:rsid w:val="0080425E"/>
    <w:rsid w:val="008052E6"/>
    <w:rsid w:val="00807178"/>
    <w:rsid w:val="00810768"/>
    <w:rsid w:val="008118FE"/>
    <w:rsid w:val="00811CE0"/>
    <w:rsid w:val="008131D0"/>
    <w:rsid w:val="00814AB0"/>
    <w:rsid w:val="0082528E"/>
    <w:rsid w:val="00826C4F"/>
    <w:rsid w:val="0082770D"/>
    <w:rsid w:val="00831743"/>
    <w:rsid w:val="00833B19"/>
    <w:rsid w:val="00834BD4"/>
    <w:rsid w:val="00852CD4"/>
    <w:rsid w:val="008536A1"/>
    <w:rsid w:val="00862E03"/>
    <w:rsid w:val="00863393"/>
    <w:rsid w:val="008659B3"/>
    <w:rsid w:val="00870862"/>
    <w:rsid w:val="0087337B"/>
    <w:rsid w:val="00874395"/>
    <w:rsid w:val="00877CE0"/>
    <w:rsid w:val="008817B3"/>
    <w:rsid w:val="00881F37"/>
    <w:rsid w:val="00882EE5"/>
    <w:rsid w:val="0088611D"/>
    <w:rsid w:val="00890212"/>
    <w:rsid w:val="00890EC2"/>
    <w:rsid w:val="00893C1E"/>
    <w:rsid w:val="008A0FA1"/>
    <w:rsid w:val="008A57F4"/>
    <w:rsid w:val="008A7790"/>
    <w:rsid w:val="008B0285"/>
    <w:rsid w:val="008B441C"/>
    <w:rsid w:val="008B5BB1"/>
    <w:rsid w:val="008C0C80"/>
    <w:rsid w:val="008C15BF"/>
    <w:rsid w:val="008C2525"/>
    <w:rsid w:val="008C4882"/>
    <w:rsid w:val="008C57DD"/>
    <w:rsid w:val="008C701F"/>
    <w:rsid w:val="008C797B"/>
    <w:rsid w:val="008D15A3"/>
    <w:rsid w:val="008D34D1"/>
    <w:rsid w:val="008D3DDA"/>
    <w:rsid w:val="008E320D"/>
    <w:rsid w:val="008E3329"/>
    <w:rsid w:val="008E6941"/>
    <w:rsid w:val="008F0477"/>
    <w:rsid w:val="008F095B"/>
    <w:rsid w:val="008F0FAC"/>
    <w:rsid w:val="008F2942"/>
    <w:rsid w:val="008F2B03"/>
    <w:rsid w:val="008F5C68"/>
    <w:rsid w:val="00901804"/>
    <w:rsid w:val="00902638"/>
    <w:rsid w:val="00906297"/>
    <w:rsid w:val="00910BC4"/>
    <w:rsid w:val="00916B22"/>
    <w:rsid w:val="009246EC"/>
    <w:rsid w:val="00924C89"/>
    <w:rsid w:val="00926B29"/>
    <w:rsid w:val="00930C98"/>
    <w:rsid w:val="00934284"/>
    <w:rsid w:val="00935293"/>
    <w:rsid w:val="009364D7"/>
    <w:rsid w:val="00937961"/>
    <w:rsid w:val="00937AFB"/>
    <w:rsid w:val="00943B81"/>
    <w:rsid w:val="00944C85"/>
    <w:rsid w:val="0094632E"/>
    <w:rsid w:val="00951812"/>
    <w:rsid w:val="0095211A"/>
    <w:rsid w:val="00954265"/>
    <w:rsid w:val="00954AE3"/>
    <w:rsid w:val="00955C5B"/>
    <w:rsid w:val="009564EE"/>
    <w:rsid w:val="00960C9C"/>
    <w:rsid w:val="00964061"/>
    <w:rsid w:val="00965EDD"/>
    <w:rsid w:val="009703EA"/>
    <w:rsid w:val="00971B0D"/>
    <w:rsid w:val="00972A84"/>
    <w:rsid w:val="009800AA"/>
    <w:rsid w:val="0098032F"/>
    <w:rsid w:val="00981CB8"/>
    <w:rsid w:val="00981F4B"/>
    <w:rsid w:val="00984303"/>
    <w:rsid w:val="00986259"/>
    <w:rsid w:val="009872F7"/>
    <w:rsid w:val="0099562C"/>
    <w:rsid w:val="009A13FB"/>
    <w:rsid w:val="009A1EDC"/>
    <w:rsid w:val="009A3106"/>
    <w:rsid w:val="009A33A9"/>
    <w:rsid w:val="009A409F"/>
    <w:rsid w:val="009A4B51"/>
    <w:rsid w:val="009A547D"/>
    <w:rsid w:val="009A567B"/>
    <w:rsid w:val="009A585E"/>
    <w:rsid w:val="009B0158"/>
    <w:rsid w:val="009B20FA"/>
    <w:rsid w:val="009B3EC3"/>
    <w:rsid w:val="009B6522"/>
    <w:rsid w:val="009B6A6F"/>
    <w:rsid w:val="009B75FE"/>
    <w:rsid w:val="009C61BF"/>
    <w:rsid w:val="009C753F"/>
    <w:rsid w:val="009C7F83"/>
    <w:rsid w:val="009D1DE4"/>
    <w:rsid w:val="009D1E45"/>
    <w:rsid w:val="009D2F23"/>
    <w:rsid w:val="009D31BE"/>
    <w:rsid w:val="009D43EA"/>
    <w:rsid w:val="009D5512"/>
    <w:rsid w:val="009D6C00"/>
    <w:rsid w:val="009D7875"/>
    <w:rsid w:val="009D7BBA"/>
    <w:rsid w:val="009E2FFC"/>
    <w:rsid w:val="009E3C88"/>
    <w:rsid w:val="009E4A3F"/>
    <w:rsid w:val="009E587A"/>
    <w:rsid w:val="009F2AB5"/>
    <w:rsid w:val="009F3210"/>
    <w:rsid w:val="009F4BFA"/>
    <w:rsid w:val="00A0473E"/>
    <w:rsid w:val="00A05952"/>
    <w:rsid w:val="00A07C7D"/>
    <w:rsid w:val="00A10647"/>
    <w:rsid w:val="00A130A0"/>
    <w:rsid w:val="00A1353A"/>
    <w:rsid w:val="00A147E3"/>
    <w:rsid w:val="00A166DB"/>
    <w:rsid w:val="00A17560"/>
    <w:rsid w:val="00A17A4F"/>
    <w:rsid w:val="00A22295"/>
    <w:rsid w:val="00A227CE"/>
    <w:rsid w:val="00A252A0"/>
    <w:rsid w:val="00A27FAA"/>
    <w:rsid w:val="00A30844"/>
    <w:rsid w:val="00A31CEE"/>
    <w:rsid w:val="00A3346D"/>
    <w:rsid w:val="00A33A67"/>
    <w:rsid w:val="00A34D7B"/>
    <w:rsid w:val="00A40BEF"/>
    <w:rsid w:val="00A41F76"/>
    <w:rsid w:val="00A46EEB"/>
    <w:rsid w:val="00A47575"/>
    <w:rsid w:val="00A47F15"/>
    <w:rsid w:val="00A51205"/>
    <w:rsid w:val="00A53D2F"/>
    <w:rsid w:val="00A55793"/>
    <w:rsid w:val="00A62E42"/>
    <w:rsid w:val="00A6307C"/>
    <w:rsid w:val="00A64316"/>
    <w:rsid w:val="00A65204"/>
    <w:rsid w:val="00A667FD"/>
    <w:rsid w:val="00A7159B"/>
    <w:rsid w:val="00A7511C"/>
    <w:rsid w:val="00A75882"/>
    <w:rsid w:val="00A75E14"/>
    <w:rsid w:val="00A80A8C"/>
    <w:rsid w:val="00A81F79"/>
    <w:rsid w:val="00A85359"/>
    <w:rsid w:val="00A85FC1"/>
    <w:rsid w:val="00AA123A"/>
    <w:rsid w:val="00AA5DBD"/>
    <w:rsid w:val="00AA70EC"/>
    <w:rsid w:val="00AA753B"/>
    <w:rsid w:val="00AB0180"/>
    <w:rsid w:val="00AB1861"/>
    <w:rsid w:val="00AB4515"/>
    <w:rsid w:val="00AB4D57"/>
    <w:rsid w:val="00AB7875"/>
    <w:rsid w:val="00AB7CE3"/>
    <w:rsid w:val="00AC2080"/>
    <w:rsid w:val="00AC4694"/>
    <w:rsid w:val="00AC5AB8"/>
    <w:rsid w:val="00AD2B28"/>
    <w:rsid w:val="00AE2C04"/>
    <w:rsid w:val="00AE3AD7"/>
    <w:rsid w:val="00AE3DBA"/>
    <w:rsid w:val="00AF2C3F"/>
    <w:rsid w:val="00AF3F23"/>
    <w:rsid w:val="00AF6E9E"/>
    <w:rsid w:val="00B03A67"/>
    <w:rsid w:val="00B03AE4"/>
    <w:rsid w:val="00B0403E"/>
    <w:rsid w:val="00B04508"/>
    <w:rsid w:val="00B07779"/>
    <w:rsid w:val="00B22708"/>
    <w:rsid w:val="00B22825"/>
    <w:rsid w:val="00B2672C"/>
    <w:rsid w:val="00B26D1C"/>
    <w:rsid w:val="00B26DFE"/>
    <w:rsid w:val="00B3023B"/>
    <w:rsid w:val="00B313B0"/>
    <w:rsid w:val="00B33BE3"/>
    <w:rsid w:val="00B366D6"/>
    <w:rsid w:val="00B409F4"/>
    <w:rsid w:val="00B41CD7"/>
    <w:rsid w:val="00B43498"/>
    <w:rsid w:val="00B43F89"/>
    <w:rsid w:val="00B4400D"/>
    <w:rsid w:val="00B538E5"/>
    <w:rsid w:val="00B55316"/>
    <w:rsid w:val="00B55F24"/>
    <w:rsid w:val="00B56FAE"/>
    <w:rsid w:val="00B5798C"/>
    <w:rsid w:val="00B62237"/>
    <w:rsid w:val="00B723A9"/>
    <w:rsid w:val="00B768D7"/>
    <w:rsid w:val="00B76BBD"/>
    <w:rsid w:val="00B81028"/>
    <w:rsid w:val="00B81193"/>
    <w:rsid w:val="00B826EF"/>
    <w:rsid w:val="00B90092"/>
    <w:rsid w:val="00B90404"/>
    <w:rsid w:val="00B9231A"/>
    <w:rsid w:val="00B93367"/>
    <w:rsid w:val="00B9372B"/>
    <w:rsid w:val="00B942B4"/>
    <w:rsid w:val="00BA1433"/>
    <w:rsid w:val="00BA1FB9"/>
    <w:rsid w:val="00BA5867"/>
    <w:rsid w:val="00BA5F0A"/>
    <w:rsid w:val="00BB1A05"/>
    <w:rsid w:val="00BB42C9"/>
    <w:rsid w:val="00BB50C1"/>
    <w:rsid w:val="00BB74EF"/>
    <w:rsid w:val="00BC0C25"/>
    <w:rsid w:val="00BC15EE"/>
    <w:rsid w:val="00BC221B"/>
    <w:rsid w:val="00BC3F24"/>
    <w:rsid w:val="00BC69AC"/>
    <w:rsid w:val="00BC6A3A"/>
    <w:rsid w:val="00BD0D45"/>
    <w:rsid w:val="00BD4F6F"/>
    <w:rsid w:val="00BD7175"/>
    <w:rsid w:val="00BE1D0D"/>
    <w:rsid w:val="00BE1FF5"/>
    <w:rsid w:val="00BE4C84"/>
    <w:rsid w:val="00BE7D1B"/>
    <w:rsid w:val="00BF140E"/>
    <w:rsid w:val="00BF719B"/>
    <w:rsid w:val="00BF7E73"/>
    <w:rsid w:val="00C01B85"/>
    <w:rsid w:val="00C03A7B"/>
    <w:rsid w:val="00C048F8"/>
    <w:rsid w:val="00C04A6F"/>
    <w:rsid w:val="00C07BC6"/>
    <w:rsid w:val="00C1228E"/>
    <w:rsid w:val="00C239AC"/>
    <w:rsid w:val="00C247C0"/>
    <w:rsid w:val="00C27D23"/>
    <w:rsid w:val="00C307C4"/>
    <w:rsid w:val="00C3387E"/>
    <w:rsid w:val="00C34D31"/>
    <w:rsid w:val="00C34E1A"/>
    <w:rsid w:val="00C36327"/>
    <w:rsid w:val="00C401C2"/>
    <w:rsid w:val="00C40F23"/>
    <w:rsid w:val="00C436AC"/>
    <w:rsid w:val="00C456E0"/>
    <w:rsid w:val="00C47C09"/>
    <w:rsid w:val="00C5600F"/>
    <w:rsid w:val="00C60BB4"/>
    <w:rsid w:val="00C6451E"/>
    <w:rsid w:val="00C658CC"/>
    <w:rsid w:val="00C67F96"/>
    <w:rsid w:val="00C70CF2"/>
    <w:rsid w:val="00C732D8"/>
    <w:rsid w:val="00C76428"/>
    <w:rsid w:val="00C82EBA"/>
    <w:rsid w:val="00C8356E"/>
    <w:rsid w:val="00C83790"/>
    <w:rsid w:val="00C851E1"/>
    <w:rsid w:val="00C90B50"/>
    <w:rsid w:val="00C92283"/>
    <w:rsid w:val="00C94483"/>
    <w:rsid w:val="00C94A96"/>
    <w:rsid w:val="00C9555D"/>
    <w:rsid w:val="00C975F1"/>
    <w:rsid w:val="00CA1D51"/>
    <w:rsid w:val="00CA21E0"/>
    <w:rsid w:val="00CA58C7"/>
    <w:rsid w:val="00CA7000"/>
    <w:rsid w:val="00CA72C5"/>
    <w:rsid w:val="00CB10CA"/>
    <w:rsid w:val="00CB311A"/>
    <w:rsid w:val="00CB4E42"/>
    <w:rsid w:val="00CB500F"/>
    <w:rsid w:val="00CC00D2"/>
    <w:rsid w:val="00CC39F9"/>
    <w:rsid w:val="00CC79AD"/>
    <w:rsid w:val="00CC7ACB"/>
    <w:rsid w:val="00CD3D4E"/>
    <w:rsid w:val="00CD4998"/>
    <w:rsid w:val="00CD4FAA"/>
    <w:rsid w:val="00CE38FE"/>
    <w:rsid w:val="00CE5C18"/>
    <w:rsid w:val="00CF026B"/>
    <w:rsid w:val="00CF0B16"/>
    <w:rsid w:val="00CF1C82"/>
    <w:rsid w:val="00CF242D"/>
    <w:rsid w:val="00CF60F1"/>
    <w:rsid w:val="00D03E96"/>
    <w:rsid w:val="00D044C1"/>
    <w:rsid w:val="00D04991"/>
    <w:rsid w:val="00D1210C"/>
    <w:rsid w:val="00D12EAC"/>
    <w:rsid w:val="00D13680"/>
    <w:rsid w:val="00D153C2"/>
    <w:rsid w:val="00D15673"/>
    <w:rsid w:val="00D1677D"/>
    <w:rsid w:val="00D16CFE"/>
    <w:rsid w:val="00D2044F"/>
    <w:rsid w:val="00D25705"/>
    <w:rsid w:val="00D25BF1"/>
    <w:rsid w:val="00D260A5"/>
    <w:rsid w:val="00D32C6F"/>
    <w:rsid w:val="00D34593"/>
    <w:rsid w:val="00D358BF"/>
    <w:rsid w:val="00D44051"/>
    <w:rsid w:val="00D459CE"/>
    <w:rsid w:val="00D45E49"/>
    <w:rsid w:val="00D47866"/>
    <w:rsid w:val="00D5113C"/>
    <w:rsid w:val="00D53C62"/>
    <w:rsid w:val="00D5473D"/>
    <w:rsid w:val="00D54AA1"/>
    <w:rsid w:val="00D5794F"/>
    <w:rsid w:val="00D616B1"/>
    <w:rsid w:val="00D63258"/>
    <w:rsid w:val="00D666A1"/>
    <w:rsid w:val="00D67F01"/>
    <w:rsid w:val="00D721BE"/>
    <w:rsid w:val="00D764D7"/>
    <w:rsid w:val="00D77221"/>
    <w:rsid w:val="00D77466"/>
    <w:rsid w:val="00D80977"/>
    <w:rsid w:val="00D8120C"/>
    <w:rsid w:val="00D823F7"/>
    <w:rsid w:val="00D85DCB"/>
    <w:rsid w:val="00D85E47"/>
    <w:rsid w:val="00D87F64"/>
    <w:rsid w:val="00D90B00"/>
    <w:rsid w:val="00D95BD2"/>
    <w:rsid w:val="00D97582"/>
    <w:rsid w:val="00DA1288"/>
    <w:rsid w:val="00DA1801"/>
    <w:rsid w:val="00DA1A2F"/>
    <w:rsid w:val="00DA30B9"/>
    <w:rsid w:val="00DB56A6"/>
    <w:rsid w:val="00DC15D3"/>
    <w:rsid w:val="00DC1E85"/>
    <w:rsid w:val="00DC3165"/>
    <w:rsid w:val="00DC3A83"/>
    <w:rsid w:val="00DC3B4D"/>
    <w:rsid w:val="00DC71FF"/>
    <w:rsid w:val="00DD039C"/>
    <w:rsid w:val="00DD0A22"/>
    <w:rsid w:val="00DD16D5"/>
    <w:rsid w:val="00DD1919"/>
    <w:rsid w:val="00DD19EF"/>
    <w:rsid w:val="00DD6B5D"/>
    <w:rsid w:val="00DD6DF4"/>
    <w:rsid w:val="00DE0D01"/>
    <w:rsid w:val="00DE3CDC"/>
    <w:rsid w:val="00DE427B"/>
    <w:rsid w:val="00DE467F"/>
    <w:rsid w:val="00DE6DF6"/>
    <w:rsid w:val="00DF1BAF"/>
    <w:rsid w:val="00DF6B50"/>
    <w:rsid w:val="00E1034F"/>
    <w:rsid w:val="00E12DEF"/>
    <w:rsid w:val="00E12E03"/>
    <w:rsid w:val="00E1583A"/>
    <w:rsid w:val="00E158F4"/>
    <w:rsid w:val="00E16E8B"/>
    <w:rsid w:val="00E16FD1"/>
    <w:rsid w:val="00E225A3"/>
    <w:rsid w:val="00E23197"/>
    <w:rsid w:val="00E26834"/>
    <w:rsid w:val="00E30811"/>
    <w:rsid w:val="00E30F16"/>
    <w:rsid w:val="00E324B0"/>
    <w:rsid w:val="00E439F7"/>
    <w:rsid w:val="00E50E0E"/>
    <w:rsid w:val="00E51755"/>
    <w:rsid w:val="00E5395D"/>
    <w:rsid w:val="00E53BA4"/>
    <w:rsid w:val="00E559C1"/>
    <w:rsid w:val="00E56025"/>
    <w:rsid w:val="00E56230"/>
    <w:rsid w:val="00E62F95"/>
    <w:rsid w:val="00E6356B"/>
    <w:rsid w:val="00E64691"/>
    <w:rsid w:val="00E64F06"/>
    <w:rsid w:val="00E65E47"/>
    <w:rsid w:val="00E6785A"/>
    <w:rsid w:val="00E67D96"/>
    <w:rsid w:val="00E70B1C"/>
    <w:rsid w:val="00E7111C"/>
    <w:rsid w:val="00E75752"/>
    <w:rsid w:val="00E821D4"/>
    <w:rsid w:val="00E833D4"/>
    <w:rsid w:val="00E83891"/>
    <w:rsid w:val="00E84AE7"/>
    <w:rsid w:val="00E875D6"/>
    <w:rsid w:val="00E91498"/>
    <w:rsid w:val="00E9543B"/>
    <w:rsid w:val="00EA27AB"/>
    <w:rsid w:val="00EA5F28"/>
    <w:rsid w:val="00EA65E9"/>
    <w:rsid w:val="00EA67F3"/>
    <w:rsid w:val="00EB0D6A"/>
    <w:rsid w:val="00EB0DE5"/>
    <w:rsid w:val="00EB1B08"/>
    <w:rsid w:val="00EB2308"/>
    <w:rsid w:val="00EB3F64"/>
    <w:rsid w:val="00EB5320"/>
    <w:rsid w:val="00EB6472"/>
    <w:rsid w:val="00EB6640"/>
    <w:rsid w:val="00EB7F3F"/>
    <w:rsid w:val="00EC0E62"/>
    <w:rsid w:val="00EC1136"/>
    <w:rsid w:val="00EC1A7B"/>
    <w:rsid w:val="00EC2B38"/>
    <w:rsid w:val="00EC525E"/>
    <w:rsid w:val="00EC729A"/>
    <w:rsid w:val="00EC7F7C"/>
    <w:rsid w:val="00ED2374"/>
    <w:rsid w:val="00ED37C5"/>
    <w:rsid w:val="00ED3C05"/>
    <w:rsid w:val="00ED4309"/>
    <w:rsid w:val="00ED59A9"/>
    <w:rsid w:val="00ED6EED"/>
    <w:rsid w:val="00EE59B5"/>
    <w:rsid w:val="00EE5B90"/>
    <w:rsid w:val="00EE63E1"/>
    <w:rsid w:val="00EE6FB7"/>
    <w:rsid w:val="00EE7D5D"/>
    <w:rsid w:val="00EF11D9"/>
    <w:rsid w:val="00EF2880"/>
    <w:rsid w:val="00EF2F9A"/>
    <w:rsid w:val="00F00E0A"/>
    <w:rsid w:val="00F018D9"/>
    <w:rsid w:val="00F01BE6"/>
    <w:rsid w:val="00F03C79"/>
    <w:rsid w:val="00F04100"/>
    <w:rsid w:val="00F045AD"/>
    <w:rsid w:val="00F04A5D"/>
    <w:rsid w:val="00F078FF"/>
    <w:rsid w:val="00F13CBC"/>
    <w:rsid w:val="00F146E6"/>
    <w:rsid w:val="00F17D16"/>
    <w:rsid w:val="00F34EDC"/>
    <w:rsid w:val="00F35816"/>
    <w:rsid w:val="00F36D2C"/>
    <w:rsid w:val="00F37708"/>
    <w:rsid w:val="00F40031"/>
    <w:rsid w:val="00F4330B"/>
    <w:rsid w:val="00F44654"/>
    <w:rsid w:val="00F44658"/>
    <w:rsid w:val="00F47D60"/>
    <w:rsid w:val="00F54BD2"/>
    <w:rsid w:val="00F56B8A"/>
    <w:rsid w:val="00F56BF7"/>
    <w:rsid w:val="00F56D43"/>
    <w:rsid w:val="00F625FB"/>
    <w:rsid w:val="00F636BD"/>
    <w:rsid w:val="00F641EE"/>
    <w:rsid w:val="00F65161"/>
    <w:rsid w:val="00F666D6"/>
    <w:rsid w:val="00F704AA"/>
    <w:rsid w:val="00F72DDA"/>
    <w:rsid w:val="00F7664A"/>
    <w:rsid w:val="00F814EC"/>
    <w:rsid w:val="00F81513"/>
    <w:rsid w:val="00F83E08"/>
    <w:rsid w:val="00F85A61"/>
    <w:rsid w:val="00F86EDB"/>
    <w:rsid w:val="00F908A6"/>
    <w:rsid w:val="00F90F3F"/>
    <w:rsid w:val="00F9162F"/>
    <w:rsid w:val="00F91967"/>
    <w:rsid w:val="00F9320D"/>
    <w:rsid w:val="00F938F0"/>
    <w:rsid w:val="00F9637F"/>
    <w:rsid w:val="00FA33DB"/>
    <w:rsid w:val="00FA4C5F"/>
    <w:rsid w:val="00FA7A8B"/>
    <w:rsid w:val="00FB09E9"/>
    <w:rsid w:val="00FB1489"/>
    <w:rsid w:val="00FB269C"/>
    <w:rsid w:val="00FB323B"/>
    <w:rsid w:val="00FB463D"/>
    <w:rsid w:val="00FC019B"/>
    <w:rsid w:val="00FC57C0"/>
    <w:rsid w:val="00FD04F8"/>
    <w:rsid w:val="00FD136A"/>
    <w:rsid w:val="00FD3481"/>
    <w:rsid w:val="00FD7E6B"/>
    <w:rsid w:val="00FE003E"/>
    <w:rsid w:val="00FE3BCE"/>
    <w:rsid w:val="00FE3D05"/>
    <w:rsid w:val="00FE4C95"/>
    <w:rsid w:val="00FF1CBE"/>
    <w:rsid w:val="00FF39A7"/>
    <w:rsid w:val="00FF4871"/>
    <w:rsid w:val="00FF4C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FD"/>
    <w:pPr>
      <w:spacing w:after="200" w:line="276" w:lineRule="auto"/>
    </w:pPr>
    <w:rPr>
      <w:sz w:val="22"/>
      <w:szCs w:val="22"/>
      <w:lang w:eastAsia="en-US"/>
    </w:rPr>
  </w:style>
  <w:style w:type="paragraph" w:styleId="Ttulo3">
    <w:name w:val="heading 3"/>
    <w:basedOn w:val="Normal"/>
    <w:next w:val="Normal"/>
    <w:link w:val="Ttulo3Char"/>
    <w:qFormat/>
    <w:rsid w:val="00B22708"/>
    <w:pPr>
      <w:keepNext/>
      <w:spacing w:after="0" w:line="240" w:lineRule="auto"/>
      <w:outlineLvl w:val="2"/>
    </w:pPr>
    <w:rPr>
      <w:rFonts w:ascii="Arial" w:eastAsia="Times New Roman" w:hAnsi="Arial"/>
      <w:b/>
      <w:sz w:val="20"/>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B22708"/>
    <w:rPr>
      <w:rFonts w:ascii="Arial" w:eastAsia="Times New Roman" w:hAnsi="Arial" w:cs="Arial"/>
      <w:b/>
      <w:sz w:val="20"/>
      <w:szCs w:val="21"/>
      <w:lang w:eastAsia="pt-BR"/>
    </w:rPr>
  </w:style>
  <w:style w:type="paragraph" w:styleId="Corpodetexto2">
    <w:name w:val="Body Text 2"/>
    <w:basedOn w:val="Normal"/>
    <w:link w:val="Corpodetexto2Char"/>
    <w:semiHidden/>
    <w:rsid w:val="00B22708"/>
    <w:pPr>
      <w:spacing w:after="0" w:line="312" w:lineRule="auto"/>
      <w:jc w:val="both"/>
    </w:pPr>
    <w:rPr>
      <w:rFonts w:ascii="Arial" w:eastAsia="Times New Roman" w:hAnsi="Arial"/>
      <w:i/>
      <w:iCs/>
      <w:sz w:val="24"/>
      <w:szCs w:val="24"/>
      <w:lang w:eastAsia="pt-BR"/>
    </w:rPr>
  </w:style>
  <w:style w:type="character" w:customStyle="1" w:styleId="Corpodetexto2Char">
    <w:name w:val="Corpo de texto 2 Char"/>
    <w:link w:val="Corpodetexto2"/>
    <w:semiHidden/>
    <w:rsid w:val="00B22708"/>
    <w:rPr>
      <w:rFonts w:ascii="Arial" w:eastAsia="Times New Roman" w:hAnsi="Arial" w:cs="Arial"/>
      <w:i/>
      <w:iCs/>
      <w:sz w:val="24"/>
      <w:szCs w:val="24"/>
      <w:lang w:eastAsia="pt-BR"/>
    </w:rPr>
  </w:style>
  <w:style w:type="character" w:styleId="Hyperlink">
    <w:name w:val="Hyperlink"/>
    <w:semiHidden/>
    <w:rsid w:val="00B22708"/>
    <w:rPr>
      <w:color w:val="0000FF"/>
      <w:u w:val="single"/>
    </w:rPr>
  </w:style>
  <w:style w:type="paragraph" w:styleId="Cabealho">
    <w:name w:val="header"/>
    <w:basedOn w:val="Normal"/>
    <w:link w:val="CabealhoChar"/>
    <w:uiPriority w:val="99"/>
    <w:unhideWhenUsed/>
    <w:rsid w:val="00B227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2708"/>
  </w:style>
  <w:style w:type="paragraph" w:styleId="Rodap">
    <w:name w:val="footer"/>
    <w:basedOn w:val="Normal"/>
    <w:link w:val="RodapChar"/>
    <w:uiPriority w:val="99"/>
    <w:unhideWhenUsed/>
    <w:rsid w:val="00B22708"/>
    <w:pPr>
      <w:tabs>
        <w:tab w:val="center" w:pos="4252"/>
        <w:tab w:val="right" w:pos="8504"/>
      </w:tabs>
      <w:spacing w:after="0" w:line="240" w:lineRule="auto"/>
    </w:pPr>
  </w:style>
  <w:style w:type="character" w:customStyle="1" w:styleId="RodapChar">
    <w:name w:val="Rodapé Char"/>
    <w:basedOn w:val="Fontepargpadro"/>
    <w:link w:val="Rodap"/>
    <w:uiPriority w:val="99"/>
    <w:rsid w:val="00B22708"/>
  </w:style>
  <w:style w:type="character" w:customStyle="1" w:styleId="ecxapple-style-span">
    <w:name w:val="ecxapple-style-span"/>
    <w:basedOn w:val="Fontepargpadro"/>
    <w:rsid w:val="00BE4C84"/>
  </w:style>
  <w:style w:type="paragraph" w:styleId="Textodebalo">
    <w:name w:val="Balloon Text"/>
    <w:basedOn w:val="Normal"/>
    <w:link w:val="TextodebaloChar"/>
    <w:uiPriority w:val="99"/>
    <w:semiHidden/>
    <w:unhideWhenUsed/>
    <w:rsid w:val="00775609"/>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75609"/>
    <w:rPr>
      <w:rFonts w:ascii="Tahoma" w:hAnsi="Tahoma" w:cs="Tahoma"/>
      <w:sz w:val="16"/>
      <w:szCs w:val="16"/>
      <w:lang w:eastAsia="en-US"/>
    </w:rPr>
  </w:style>
  <w:style w:type="paragraph" w:styleId="Textodenotadefim">
    <w:name w:val="endnote text"/>
    <w:basedOn w:val="Normal"/>
    <w:link w:val="TextodenotadefimChar"/>
    <w:uiPriority w:val="99"/>
    <w:semiHidden/>
    <w:unhideWhenUsed/>
    <w:rsid w:val="009F3210"/>
    <w:rPr>
      <w:sz w:val="20"/>
      <w:szCs w:val="20"/>
    </w:rPr>
  </w:style>
  <w:style w:type="character" w:customStyle="1" w:styleId="TextodenotadefimChar">
    <w:name w:val="Texto de nota de fim Char"/>
    <w:link w:val="Textodenotadefim"/>
    <w:uiPriority w:val="99"/>
    <w:semiHidden/>
    <w:rsid w:val="009F3210"/>
    <w:rPr>
      <w:lang w:eastAsia="en-US"/>
    </w:rPr>
  </w:style>
  <w:style w:type="character" w:styleId="Refdenotadefim">
    <w:name w:val="endnote reference"/>
    <w:uiPriority w:val="99"/>
    <w:semiHidden/>
    <w:unhideWhenUsed/>
    <w:rsid w:val="009F3210"/>
    <w:rPr>
      <w:vertAlign w:val="superscript"/>
    </w:rPr>
  </w:style>
  <w:style w:type="character" w:styleId="nfase">
    <w:name w:val="Emphasis"/>
    <w:uiPriority w:val="20"/>
    <w:qFormat/>
    <w:rsid w:val="00165727"/>
    <w:rPr>
      <w:i/>
      <w:iCs/>
    </w:rPr>
  </w:style>
  <w:style w:type="paragraph" w:styleId="NormalWeb">
    <w:name w:val="Normal (Web)"/>
    <w:basedOn w:val="Normal"/>
    <w:uiPriority w:val="99"/>
    <w:semiHidden/>
    <w:unhideWhenUsed/>
    <w:rsid w:val="0086339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633ED9"/>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9564EE"/>
    <w:pPr>
      <w:ind w:left="708"/>
    </w:pPr>
  </w:style>
  <w:style w:type="character" w:styleId="Forte">
    <w:name w:val="Strong"/>
    <w:uiPriority w:val="22"/>
    <w:qFormat/>
    <w:rsid w:val="00930C98"/>
    <w:rPr>
      <w:b/>
      <w:bCs/>
    </w:rPr>
  </w:style>
  <w:style w:type="character" w:styleId="Refdecomentrio">
    <w:name w:val="annotation reference"/>
    <w:uiPriority w:val="99"/>
    <w:semiHidden/>
    <w:unhideWhenUsed/>
    <w:rsid w:val="002E0298"/>
    <w:rPr>
      <w:sz w:val="16"/>
      <w:szCs w:val="16"/>
    </w:rPr>
  </w:style>
  <w:style w:type="paragraph" w:styleId="Textodecomentrio">
    <w:name w:val="annotation text"/>
    <w:basedOn w:val="Normal"/>
    <w:link w:val="TextodecomentrioChar"/>
    <w:uiPriority w:val="99"/>
    <w:semiHidden/>
    <w:unhideWhenUsed/>
    <w:rsid w:val="002E0298"/>
    <w:rPr>
      <w:sz w:val="20"/>
      <w:szCs w:val="20"/>
    </w:rPr>
  </w:style>
  <w:style w:type="character" w:customStyle="1" w:styleId="TextodecomentrioChar">
    <w:name w:val="Texto de comentário Char"/>
    <w:link w:val="Textodecomentrio"/>
    <w:uiPriority w:val="99"/>
    <w:semiHidden/>
    <w:rsid w:val="002E0298"/>
    <w:rPr>
      <w:lang w:eastAsia="en-US"/>
    </w:rPr>
  </w:style>
  <w:style w:type="paragraph" w:styleId="Assuntodocomentrio">
    <w:name w:val="annotation subject"/>
    <w:basedOn w:val="Textodecomentrio"/>
    <w:next w:val="Textodecomentrio"/>
    <w:link w:val="AssuntodocomentrioChar"/>
    <w:uiPriority w:val="99"/>
    <w:semiHidden/>
    <w:unhideWhenUsed/>
    <w:rsid w:val="002E0298"/>
    <w:rPr>
      <w:b/>
      <w:bCs/>
    </w:rPr>
  </w:style>
  <w:style w:type="character" w:customStyle="1" w:styleId="AssuntodocomentrioChar">
    <w:name w:val="Assunto do comentário Char"/>
    <w:link w:val="Assuntodocomentrio"/>
    <w:uiPriority w:val="99"/>
    <w:semiHidden/>
    <w:rsid w:val="002E0298"/>
    <w:rPr>
      <w:b/>
      <w:bCs/>
      <w:lang w:eastAsia="en-US"/>
    </w:rPr>
  </w:style>
  <w:style w:type="paragraph" w:styleId="Reviso">
    <w:name w:val="Revision"/>
    <w:hidden/>
    <w:uiPriority w:val="99"/>
    <w:semiHidden/>
    <w:rsid w:val="007F61A3"/>
    <w:rPr>
      <w:sz w:val="22"/>
      <w:szCs w:val="22"/>
      <w:lang w:eastAsia="en-US"/>
    </w:rPr>
  </w:style>
  <w:style w:type="paragraph" w:styleId="TextosemFormatao">
    <w:name w:val="Plain Text"/>
    <w:basedOn w:val="Normal"/>
    <w:link w:val="TextosemFormataoChar"/>
    <w:uiPriority w:val="99"/>
    <w:unhideWhenUsed/>
    <w:rsid w:val="00EB6640"/>
    <w:pPr>
      <w:spacing w:after="0" w:line="240" w:lineRule="auto"/>
    </w:pPr>
    <w:rPr>
      <w:rFonts w:eastAsiaTheme="minorHAnsi" w:cstheme="minorBidi"/>
      <w:szCs w:val="21"/>
    </w:rPr>
  </w:style>
  <w:style w:type="character" w:customStyle="1" w:styleId="TextosemFormataoChar">
    <w:name w:val="Texto sem Formatação Char"/>
    <w:basedOn w:val="Fontepargpadro"/>
    <w:link w:val="TextosemFormatao"/>
    <w:uiPriority w:val="99"/>
    <w:rsid w:val="00EB664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FD"/>
    <w:pPr>
      <w:spacing w:after="200" w:line="276" w:lineRule="auto"/>
    </w:pPr>
    <w:rPr>
      <w:sz w:val="22"/>
      <w:szCs w:val="22"/>
      <w:lang w:eastAsia="en-US"/>
    </w:rPr>
  </w:style>
  <w:style w:type="paragraph" w:styleId="Ttulo3">
    <w:name w:val="heading 3"/>
    <w:basedOn w:val="Normal"/>
    <w:next w:val="Normal"/>
    <w:link w:val="Ttulo3Char"/>
    <w:qFormat/>
    <w:rsid w:val="00B22708"/>
    <w:pPr>
      <w:keepNext/>
      <w:spacing w:after="0" w:line="240" w:lineRule="auto"/>
      <w:outlineLvl w:val="2"/>
    </w:pPr>
    <w:rPr>
      <w:rFonts w:ascii="Arial" w:eastAsia="Times New Roman" w:hAnsi="Arial"/>
      <w:b/>
      <w:sz w:val="20"/>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B22708"/>
    <w:rPr>
      <w:rFonts w:ascii="Arial" w:eastAsia="Times New Roman" w:hAnsi="Arial" w:cs="Arial"/>
      <w:b/>
      <w:sz w:val="20"/>
      <w:szCs w:val="21"/>
      <w:lang w:eastAsia="pt-BR"/>
    </w:rPr>
  </w:style>
  <w:style w:type="paragraph" w:styleId="Corpodetexto2">
    <w:name w:val="Body Text 2"/>
    <w:basedOn w:val="Normal"/>
    <w:link w:val="Corpodetexto2Char"/>
    <w:semiHidden/>
    <w:rsid w:val="00B22708"/>
    <w:pPr>
      <w:spacing w:after="0" w:line="312" w:lineRule="auto"/>
      <w:jc w:val="both"/>
    </w:pPr>
    <w:rPr>
      <w:rFonts w:ascii="Arial" w:eastAsia="Times New Roman" w:hAnsi="Arial"/>
      <w:i/>
      <w:iCs/>
      <w:sz w:val="24"/>
      <w:szCs w:val="24"/>
      <w:lang w:eastAsia="pt-BR"/>
    </w:rPr>
  </w:style>
  <w:style w:type="character" w:customStyle="1" w:styleId="Corpodetexto2Char">
    <w:name w:val="Corpo de texto 2 Char"/>
    <w:link w:val="Corpodetexto2"/>
    <w:semiHidden/>
    <w:rsid w:val="00B22708"/>
    <w:rPr>
      <w:rFonts w:ascii="Arial" w:eastAsia="Times New Roman" w:hAnsi="Arial" w:cs="Arial"/>
      <w:i/>
      <w:iCs/>
      <w:sz w:val="24"/>
      <w:szCs w:val="24"/>
      <w:lang w:eastAsia="pt-BR"/>
    </w:rPr>
  </w:style>
  <w:style w:type="character" w:styleId="Hyperlink">
    <w:name w:val="Hyperlink"/>
    <w:semiHidden/>
    <w:rsid w:val="00B22708"/>
    <w:rPr>
      <w:color w:val="0000FF"/>
      <w:u w:val="single"/>
    </w:rPr>
  </w:style>
  <w:style w:type="paragraph" w:styleId="Cabealho">
    <w:name w:val="header"/>
    <w:basedOn w:val="Normal"/>
    <w:link w:val="CabealhoChar"/>
    <w:uiPriority w:val="99"/>
    <w:unhideWhenUsed/>
    <w:rsid w:val="00B227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2708"/>
  </w:style>
  <w:style w:type="paragraph" w:styleId="Rodap">
    <w:name w:val="footer"/>
    <w:basedOn w:val="Normal"/>
    <w:link w:val="RodapChar"/>
    <w:uiPriority w:val="99"/>
    <w:unhideWhenUsed/>
    <w:rsid w:val="00B22708"/>
    <w:pPr>
      <w:tabs>
        <w:tab w:val="center" w:pos="4252"/>
        <w:tab w:val="right" w:pos="8504"/>
      </w:tabs>
      <w:spacing w:after="0" w:line="240" w:lineRule="auto"/>
    </w:pPr>
  </w:style>
  <w:style w:type="character" w:customStyle="1" w:styleId="RodapChar">
    <w:name w:val="Rodapé Char"/>
    <w:basedOn w:val="Fontepargpadro"/>
    <w:link w:val="Rodap"/>
    <w:uiPriority w:val="99"/>
    <w:rsid w:val="00B22708"/>
  </w:style>
  <w:style w:type="character" w:customStyle="1" w:styleId="ecxapple-style-span">
    <w:name w:val="ecxapple-style-span"/>
    <w:basedOn w:val="Fontepargpadro"/>
    <w:rsid w:val="00BE4C84"/>
  </w:style>
  <w:style w:type="paragraph" w:styleId="Textodebalo">
    <w:name w:val="Balloon Text"/>
    <w:basedOn w:val="Normal"/>
    <w:link w:val="TextodebaloChar"/>
    <w:uiPriority w:val="99"/>
    <w:semiHidden/>
    <w:unhideWhenUsed/>
    <w:rsid w:val="00775609"/>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75609"/>
    <w:rPr>
      <w:rFonts w:ascii="Tahoma" w:hAnsi="Tahoma" w:cs="Tahoma"/>
      <w:sz w:val="16"/>
      <w:szCs w:val="16"/>
      <w:lang w:eastAsia="en-US"/>
    </w:rPr>
  </w:style>
  <w:style w:type="paragraph" w:styleId="Textodenotadefim">
    <w:name w:val="endnote text"/>
    <w:basedOn w:val="Normal"/>
    <w:link w:val="TextodenotadefimChar"/>
    <w:uiPriority w:val="99"/>
    <w:semiHidden/>
    <w:unhideWhenUsed/>
    <w:rsid w:val="009F3210"/>
    <w:rPr>
      <w:sz w:val="20"/>
      <w:szCs w:val="20"/>
    </w:rPr>
  </w:style>
  <w:style w:type="character" w:customStyle="1" w:styleId="TextodenotadefimChar">
    <w:name w:val="Texto de nota de fim Char"/>
    <w:link w:val="Textodenotadefim"/>
    <w:uiPriority w:val="99"/>
    <w:semiHidden/>
    <w:rsid w:val="009F3210"/>
    <w:rPr>
      <w:lang w:eastAsia="en-US"/>
    </w:rPr>
  </w:style>
  <w:style w:type="character" w:styleId="Refdenotadefim">
    <w:name w:val="endnote reference"/>
    <w:uiPriority w:val="99"/>
    <w:semiHidden/>
    <w:unhideWhenUsed/>
    <w:rsid w:val="009F3210"/>
    <w:rPr>
      <w:vertAlign w:val="superscript"/>
    </w:rPr>
  </w:style>
  <w:style w:type="character" w:styleId="nfase">
    <w:name w:val="Emphasis"/>
    <w:uiPriority w:val="20"/>
    <w:qFormat/>
    <w:rsid w:val="00165727"/>
    <w:rPr>
      <w:i/>
      <w:iCs/>
    </w:rPr>
  </w:style>
  <w:style w:type="paragraph" w:styleId="NormalWeb">
    <w:name w:val="Normal (Web)"/>
    <w:basedOn w:val="Normal"/>
    <w:uiPriority w:val="99"/>
    <w:semiHidden/>
    <w:unhideWhenUsed/>
    <w:rsid w:val="0086339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633ED9"/>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9564EE"/>
    <w:pPr>
      <w:ind w:left="708"/>
    </w:pPr>
  </w:style>
  <w:style w:type="character" w:styleId="Forte">
    <w:name w:val="Strong"/>
    <w:uiPriority w:val="22"/>
    <w:qFormat/>
    <w:rsid w:val="00930C98"/>
    <w:rPr>
      <w:b/>
      <w:bCs/>
    </w:rPr>
  </w:style>
  <w:style w:type="character" w:styleId="Refdecomentrio">
    <w:name w:val="annotation reference"/>
    <w:uiPriority w:val="99"/>
    <w:semiHidden/>
    <w:unhideWhenUsed/>
    <w:rsid w:val="002E0298"/>
    <w:rPr>
      <w:sz w:val="16"/>
      <w:szCs w:val="16"/>
    </w:rPr>
  </w:style>
  <w:style w:type="paragraph" w:styleId="Textodecomentrio">
    <w:name w:val="annotation text"/>
    <w:basedOn w:val="Normal"/>
    <w:link w:val="TextodecomentrioChar"/>
    <w:uiPriority w:val="99"/>
    <w:semiHidden/>
    <w:unhideWhenUsed/>
    <w:rsid w:val="002E0298"/>
    <w:rPr>
      <w:sz w:val="20"/>
      <w:szCs w:val="20"/>
    </w:rPr>
  </w:style>
  <w:style w:type="character" w:customStyle="1" w:styleId="TextodecomentrioChar">
    <w:name w:val="Texto de comentário Char"/>
    <w:link w:val="Textodecomentrio"/>
    <w:uiPriority w:val="99"/>
    <w:semiHidden/>
    <w:rsid w:val="002E0298"/>
    <w:rPr>
      <w:lang w:eastAsia="en-US"/>
    </w:rPr>
  </w:style>
  <w:style w:type="paragraph" w:styleId="Assuntodocomentrio">
    <w:name w:val="annotation subject"/>
    <w:basedOn w:val="Textodecomentrio"/>
    <w:next w:val="Textodecomentrio"/>
    <w:link w:val="AssuntodocomentrioChar"/>
    <w:uiPriority w:val="99"/>
    <w:semiHidden/>
    <w:unhideWhenUsed/>
    <w:rsid w:val="002E0298"/>
    <w:rPr>
      <w:b/>
      <w:bCs/>
    </w:rPr>
  </w:style>
  <w:style w:type="character" w:customStyle="1" w:styleId="AssuntodocomentrioChar">
    <w:name w:val="Assunto do comentário Char"/>
    <w:link w:val="Assuntodocomentrio"/>
    <w:uiPriority w:val="99"/>
    <w:semiHidden/>
    <w:rsid w:val="002E0298"/>
    <w:rPr>
      <w:b/>
      <w:bCs/>
      <w:lang w:eastAsia="en-US"/>
    </w:rPr>
  </w:style>
  <w:style w:type="paragraph" w:styleId="Reviso">
    <w:name w:val="Revision"/>
    <w:hidden/>
    <w:uiPriority w:val="99"/>
    <w:semiHidden/>
    <w:rsid w:val="007F61A3"/>
    <w:rPr>
      <w:sz w:val="22"/>
      <w:szCs w:val="22"/>
      <w:lang w:eastAsia="en-US"/>
    </w:rPr>
  </w:style>
  <w:style w:type="paragraph" w:styleId="TextosemFormatao">
    <w:name w:val="Plain Text"/>
    <w:basedOn w:val="Normal"/>
    <w:link w:val="TextosemFormataoChar"/>
    <w:uiPriority w:val="99"/>
    <w:unhideWhenUsed/>
    <w:rsid w:val="00EB6640"/>
    <w:pPr>
      <w:spacing w:after="0" w:line="240" w:lineRule="auto"/>
    </w:pPr>
    <w:rPr>
      <w:rFonts w:eastAsiaTheme="minorHAnsi" w:cstheme="minorBidi"/>
      <w:szCs w:val="21"/>
    </w:rPr>
  </w:style>
  <w:style w:type="character" w:customStyle="1" w:styleId="TextosemFormataoChar">
    <w:name w:val="Texto sem Formatação Char"/>
    <w:basedOn w:val="Fontepargpadro"/>
    <w:link w:val="TextosemFormatao"/>
    <w:uiPriority w:val="99"/>
    <w:rsid w:val="00EB664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330">
      <w:bodyDiv w:val="1"/>
      <w:marLeft w:val="0"/>
      <w:marRight w:val="0"/>
      <w:marTop w:val="0"/>
      <w:marBottom w:val="0"/>
      <w:divBdr>
        <w:top w:val="none" w:sz="0" w:space="0" w:color="auto"/>
        <w:left w:val="none" w:sz="0" w:space="0" w:color="auto"/>
        <w:bottom w:val="none" w:sz="0" w:space="0" w:color="auto"/>
        <w:right w:val="none" w:sz="0" w:space="0" w:color="auto"/>
      </w:divBdr>
    </w:div>
    <w:div w:id="22563332">
      <w:bodyDiv w:val="1"/>
      <w:marLeft w:val="0"/>
      <w:marRight w:val="0"/>
      <w:marTop w:val="0"/>
      <w:marBottom w:val="0"/>
      <w:divBdr>
        <w:top w:val="none" w:sz="0" w:space="0" w:color="auto"/>
        <w:left w:val="none" w:sz="0" w:space="0" w:color="auto"/>
        <w:bottom w:val="none" w:sz="0" w:space="0" w:color="auto"/>
        <w:right w:val="none" w:sz="0" w:space="0" w:color="auto"/>
      </w:divBdr>
    </w:div>
    <w:div w:id="34240782">
      <w:bodyDiv w:val="1"/>
      <w:marLeft w:val="0"/>
      <w:marRight w:val="0"/>
      <w:marTop w:val="0"/>
      <w:marBottom w:val="0"/>
      <w:divBdr>
        <w:top w:val="none" w:sz="0" w:space="0" w:color="auto"/>
        <w:left w:val="none" w:sz="0" w:space="0" w:color="auto"/>
        <w:bottom w:val="none" w:sz="0" w:space="0" w:color="auto"/>
        <w:right w:val="none" w:sz="0" w:space="0" w:color="auto"/>
      </w:divBdr>
    </w:div>
    <w:div w:id="290791556">
      <w:bodyDiv w:val="1"/>
      <w:marLeft w:val="0"/>
      <w:marRight w:val="0"/>
      <w:marTop w:val="0"/>
      <w:marBottom w:val="0"/>
      <w:divBdr>
        <w:top w:val="none" w:sz="0" w:space="0" w:color="auto"/>
        <w:left w:val="none" w:sz="0" w:space="0" w:color="auto"/>
        <w:bottom w:val="none" w:sz="0" w:space="0" w:color="auto"/>
        <w:right w:val="none" w:sz="0" w:space="0" w:color="auto"/>
      </w:divBdr>
    </w:div>
    <w:div w:id="379473446">
      <w:bodyDiv w:val="1"/>
      <w:marLeft w:val="0"/>
      <w:marRight w:val="0"/>
      <w:marTop w:val="0"/>
      <w:marBottom w:val="0"/>
      <w:divBdr>
        <w:top w:val="none" w:sz="0" w:space="0" w:color="auto"/>
        <w:left w:val="none" w:sz="0" w:space="0" w:color="auto"/>
        <w:bottom w:val="none" w:sz="0" w:space="0" w:color="auto"/>
        <w:right w:val="none" w:sz="0" w:space="0" w:color="auto"/>
      </w:divBdr>
    </w:div>
    <w:div w:id="483590179">
      <w:bodyDiv w:val="1"/>
      <w:marLeft w:val="0"/>
      <w:marRight w:val="0"/>
      <w:marTop w:val="0"/>
      <w:marBottom w:val="0"/>
      <w:divBdr>
        <w:top w:val="none" w:sz="0" w:space="0" w:color="auto"/>
        <w:left w:val="none" w:sz="0" w:space="0" w:color="auto"/>
        <w:bottom w:val="none" w:sz="0" w:space="0" w:color="auto"/>
        <w:right w:val="none" w:sz="0" w:space="0" w:color="auto"/>
      </w:divBdr>
      <w:divsChild>
        <w:div w:id="596645089">
          <w:marLeft w:val="0"/>
          <w:marRight w:val="0"/>
          <w:marTop w:val="0"/>
          <w:marBottom w:val="0"/>
          <w:divBdr>
            <w:top w:val="none" w:sz="0" w:space="0" w:color="auto"/>
            <w:left w:val="none" w:sz="0" w:space="0" w:color="auto"/>
            <w:bottom w:val="none" w:sz="0" w:space="0" w:color="auto"/>
            <w:right w:val="none" w:sz="0" w:space="0" w:color="auto"/>
          </w:divBdr>
          <w:divsChild>
            <w:div w:id="1224484918">
              <w:marLeft w:val="0"/>
              <w:marRight w:val="0"/>
              <w:marTop w:val="0"/>
              <w:marBottom w:val="0"/>
              <w:divBdr>
                <w:top w:val="single" w:sz="6" w:space="0" w:color="83AADA"/>
                <w:left w:val="single" w:sz="6" w:space="0" w:color="83AADA"/>
                <w:bottom w:val="single" w:sz="6" w:space="0" w:color="83AADA"/>
                <w:right w:val="single" w:sz="6" w:space="0" w:color="83AADA"/>
              </w:divBdr>
              <w:divsChild>
                <w:div w:id="464082281">
                  <w:marLeft w:val="0"/>
                  <w:marRight w:val="0"/>
                  <w:marTop w:val="0"/>
                  <w:marBottom w:val="0"/>
                  <w:divBdr>
                    <w:top w:val="none" w:sz="0" w:space="0" w:color="auto"/>
                    <w:left w:val="none" w:sz="0" w:space="0" w:color="auto"/>
                    <w:bottom w:val="none" w:sz="0" w:space="0" w:color="auto"/>
                    <w:right w:val="none" w:sz="0" w:space="0" w:color="auto"/>
                  </w:divBdr>
                  <w:divsChild>
                    <w:div w:id="1485123134">
                      <w:marLeft w:val="0"/>
                      <w:marRight w:val="0"/>
                      <w:marTop w:val="0"/>
                      <w:marBottom w:val="0"/>
                      <w:divBdr>
                        <w:top w:val="none" w:sz="0" w:space="0" w:color="auto"/>
                        <w:left w:val="none" w:sz="0" w:space="0" w:color="auto"/>
                        <w:bottom w:val="none" w:sz="0" w:space="0" w:color="auto"/>
                        <w:right w:val="none" w:sz="0" w:space="0" w:color="auto"/>
                      </w:divBdr>
                      <w:divsChild>
                        <w:div w:id="709262460">
                          <w:marLeft w:val="0"/>
                          <w:marRight w:val="0"/>
                          <w:marTop w:val="0"/>
                          <w:marBottom w:val="0"/>
                          <w:divBdr>
                            <w:top w:val="none" w:sz="0" w:space="0" w:color="auto"/>
                            <w:left w:val="none" w:sz="0" w:space="0" w:color="auto"/>
                            <w:bottom w:val="none" w:sz="0" w:space="0" w:color="auto"/>
                            <w:right w:val="none" w:sz="0" w:space="0" w:color="auto"/>
                          </w:divBdr>
                          <w:divsChild>
                            <w:div w:id="4677698">
                              <w:marLeft w:val="0"/>
                              <w:marRight w:val="0"/>
                              <w:marTop w:val="0"/>
                              <w:marBottom w:val="0"/>
                              <w:divBdr>
                                <w:top w:val="none" w:sz="0" w:space="0" w:color="auto"/>
                                <w:left w:val="none" w:sz="0" w:space="0" w:color="auto"/>
                                <w:bottom w:val="none" w:sz="0" w:space="0" w:color="auto"/>
                                <w:right w:val="none" w:sz="0" w:space="0" w:color="auto"/>
                              </w:divBdr>
                              <w:divsChild>
                                <w:div w:id="1529024613">
                                  <w:marLeft w:val="251"/>
                                  <w:marRight w:val="0"/>
                                  <w:marTop w:val="0"/>
                                  <w:marBottom w:val="0"/>
                                  <w:divBdr>
                                    <w:top w:val="none" w:sz="0" w:space="0" w:color="auto"/>
                                    <w:left w:val="none" w:sz="0" w:space="0" w:color="auto"/>
                                    <w:bottom w:val="none" w:sz="0" w:space="0" w:color="auto"/>
                                    <w:right w:val="none" w:sz="0" w:space="0" w:color="auto"/>
                                  </w:divBdr>
                                </w:div>
                              </w:divsChild>
                            </w:div>
                            <w:div w:id="157772654">
                              <w:marLeft w:val="0"/>
                              <w:marRight w:val="0"/>
                              <w:marTop w:val="0"/>
                              <w:marBottom w:val="0"/>
                              <w:divBdr>
                                <w:top w:val="none" w:sz="0" w:space="0" w:color="auto"/>
                                <w:left w:val="none" w:sz="0" w:space="0" w:color="auto"/>
                                <w:bottom w:val="none" w:sz="0" w:space="0" w:color="auto"/>
                                <w:right w:val="none" w:sz="0" w:space="0" w:color="auto"/>
                              </w:divBdr>
                              <w:divsChild>
                                <w:div w:id="190388186">
                                  <w:marLeft w:val="251"/>
                                  <w:marRight w:val="0"/>
                                  <w:marTop w:val="0"/>
                                  <w:marBottom w:val="0"/>
                                  <w:divBdr>
                                    <w:top w:val="none" w:sz="0" w:space="0" w:color="auto"/>
                                    <w:left w:val="none" w:sz="0" w:space="0" w:color="auto"/>
                                    <w:bottom w:val="none" w:sz="0" w:space="0" w:color="auto"/>
                                    <w:right w:val="none" w:sz="0" w:space="0" w:color="auto"/>
                                  </w:divBdr>
                                </w:div>
                              </w:divsChild>
                            </w:div>
                            <w:div w:id="301425980">
                              <w:marLeft w:val="0"/>
                              <w:marRight w:val="0"/>
                              <w:marTop w:val="0"/>
                              <w:marBottom w:val="0"/>
                              <w:divBdr>
                                <w:top w:val="none" w:sz="0" w:space="0" w:color="auto"/>
                                <w:left w:val="none" w:sz="0" w:space="0" w:color="auto"/>
                                <w:bottom w:val="none" w:sz="0" w:space="0" w:color="auto"/>
                                <w:right w:val="none" w:sz="0" w:space="0" w:color="auto"/>
                              </w:divBdr>
                              <w:divsChild>
                                <w:div w:id="1951083737">
                                  <w:marLeft w:val="251"/>
                                  <w:marRight w:val="0"/>
                                  <w:marTop w:val="0"/>
                                  <w:marBottom w:val="0"/>
                                  <w:divBdr>
                                    <w:top w:val="none" w:sz="0" w:space="0" w:color="auto"/>
                                    <w:left w:val="none" w:sz="0" w:space="0" w:color="auto"/>
                                    <w:bottom w:val="none" w:sz="0" w:space="0" w:color="auto"/>
                                    <w:right w:val="none" w:sz="0" w:space="0" w:color="auto"/>
                                  </w:divBdr>
                                </w:div>
                              </w:divsChild>
                            </w:div>
                            <w:div w:id="399209574">
                              <w:marLeft w:val="0"/>
                              <w:marRight w:val="0"/>
                              <w:marTop w:val="0"/>
                              <w:marBottom w:val="0"/>
                              <w:divBdr>
                                <w:top w:val="none" w:sz="0" w:space="0" w:color="auto"/>
                                <w:left w:val="none" w:sz="0" w:space="0" w:color="auto"/>
                                <w:bottom w:val="none" w:sz="0" w:space="0" w:color="auto"/>
                                <w:right w:val="none" w:sz="0" w:space="0" w:color="auto"/>
                              </w:divBdr>
                              <w:divsChild>
                                <w:div w:id="1412577168">
                                  <w:marLeft w:val="251"/>
                                  <w:marRight w:val="0"/>
                                  <w:marTop w:val="0"/>
                                  <w:marBottom w:val="0"/>
                                  <w:divBdr>
                                    <w:top w:val="none" w:sz="0" w:space="0" w:color="auto"/>
                                    <w:left w:val="none" w:sz="0" w:space="0" w:color="auto"/>
                                    <w:bottom w:val="none" w:sz="0" w:space="0" w:color="auto"/>
                                    <w:right w:val="none" w:sz="0" w:space="0" w:color="auto"/>
                                  </w:divBdr>
                                </w:div>
                              </w:divsChild>
                            </w:div>
                            <w:div w:id="746266638">
                              <w:marLeft w:val="0"/>
                              <w:marRight w:val="0"/>
                              <w:marTop w:val="0"/>
                              <w:marBottom w:val="0"/>
                              <w:divBdr>
                                <w:top w:val="none" w:sz="0" w:space="0" w:color="auto"/>
                                <w:left w:val="none" w:sz="0" w:space="0" w:color="auto"/>
                                <w:bottom w:val="none" w:sz="0" w:space="0" w:color="auto"/>
                                <w:right w:val="none" w:sz="0" w:space="0" w:color="auto"/>
                              </w:divBdr>
                              <w:divsChild>
                                <w:div w:id="1990279260">
                                  <w:marLeft w:val="251"/>
                                  <w:marRight w:val="0"/>
                                  <w:marTop w:val="0"/>
                                  <w:marBottom w:val="0"/>
                                  <w:divBdr>
                                    <w:top w:val="none" w:sz="0" w:space="0" w:color="auto"/>
                                    <w:left w:val="none" w:sz="0" w:space="0" w:color="auto"/>
                                    <w:bottom w:val="none" w:sz="0" w:space="0" w:color="auto"/>
                                    <w:right w:val="none" w:sz="0" w:space="0" w:color="auto"/>
                                  </w:divBdr>
                                </w:div>
                              </w:divsChild>
                            </w:div>
                            <w:div w:id="756944407">
                              <w:marLeft w:val="0"/>
                              <w:marRight w:val="0"/>
                              <w:marTop w:val="0"/>
                              <w:marBottom w:val="0"/>
                              <w:divBdr>
                                <w:top w:val="none" w:sz="0" w:space="0" w:color="auto"/>
                                <w:left w:val="none" w:sz="0" w:space="0" w:color="auto"/>
                                <w:bottom w:val="none" w:sz="0" w:space="0" w:color="auto"/>
                                <w:right w:val="none" w:sz="0" w:space="0" w:color="auto"/>
                              </w:divBdr>
                              <w:divsChild>
                                <w:div w:id="2029140233">
                                  <w:marLeft w:val="251"/>
                                  <w:marRight w:val="0"/>
                                  <w:marTop w:val="0"/>
                                  <w:marBottom w:val="0"/>
                                  <w:divBdr>
                                    <w:top w:val="none" w:sz="0" w:space="0" w:color="auto"/>
                                    <w:left w:val="none" w:sz="0" w:space="0" w:color="auto"/>
                                    <w:bottom w:val="none" w:sz="0" w:space="0" w:color="auto"/>
                                    <w:right w:val="none" w:sz="0" w:space="0" w:color="auto"/>
                                  </w:divBdr>
                                </w:div>
                              </w:divsChild>
                            </w:div>
                            <w:div w:id="772280801">
                              <w:marLeft w:val="0"/>
                              <w:marRight w:val="0"/>
                              <w:marTop w:val="0"/>
                              <w:marBottom w:val="0"/>
                              <w:divBdr>
                                <w:top w:val="none" w:sz="0" w:space="0" w:color="auto"/>
                                <w:left w:val="none" w:sz="0" w:space="0" w:color="auto"/>
                                <w:bottom w:val="none" w:sz="0" w:space="0" w:color="auto"/>
                                <w:right w:val="none" w:sz="0" w:space="0" w:color="auto"/>
                              </w:divBdr>
                              <w:divsChild>
                                <w:div w:id="577515631">
                                  <w:marLeft w:val="251"/>
                                  <w:marRight w:val="0"/>
                                  <w:marTop w:val="0"/>
                                  <w:marBottom w:val="0"/>
                                  <w:divBdr>
                                    <w:top w:val="none" w:sz="0" w:space="0" w:color="auto"/>
                                    <w:left w:val="none" w:sz="0" w:space="0" w:color="auto"/>
                                    <w:bottom w:val="none" w:sz="0" w:space="0" w:color="auto"/>
                                    <w:right w:val="none" w:sz="0" w:space="0" w:color="auto"/>
                                  </w:divBdr>
                                </w:div>
                              </w:divsChild>
                            </w:div>
                            <w:div w:id="819925299">
                              <w:marLeft w:val="0"/>
                              <w:marRight w:val="0"/>
                              <w:marTop w:val="0"/>
                              <w:marBottom w:val="0"/>
                              <w:divBdr>
                                <w:top w:val="none" w:sz="0" w:space="0" w:color="auto"/>
                                <w:left w:val="none" w:sz="0" w:space="0" w:color="auto"/>
                                <w:bottom w:val="none" w:sz="0" w:space="0" w:color="auto"/>
                                <w:right w:val="none" w:sz="0" w:space="0" w:color="auto"/>
                              </w:divBdr>
                              <w:divsChild>
                                <w:div w:id="1837258729">
                                  <w:marLeft w:val="251"/>
                                  <w:marRight w:val="0"/>
                                  <w:marTop w:val="0"/>
                                  <w:marBottom w:val="0"/>
                                  <w:divBdr>
                                    <w:top w:val="none" w:sz="0" w:space="0" w:color="auto"/>
                                    <w:left w:val="none" w:sz="0" w:space="0" w:color="auto"/>
                                    <w:bottom w:val="none" w:sz="0" w:space="0" w:color="auto"/>
                                    <w:right w:val="none" w:sz="0" w:space="0" w:color="auto"/>
                                  </w:divBdr>
                                </w:div>
                              </w:divsChild>
                            </w:div>
                            <w:div w:id="901909696">
                              <w:marLeft w:val="0"/>
                              <w:marRight w:val="0"/>
                              <w:marTop w:val="0"/>
                              <w:marBottom w:val="0"/>
                              <w:divBdr>
                                <w:top w:val="none" w:sz="0" w:space="0" w:color="auto"/>
                                <w:left w:val="none" w:sz="0" w:space="0" w:color="auto"/>
                                <w:bottom w:val="none" w:sz="0" w:space="0" w:color="auto"/>
                                <w:right w:val="none" w:sz="0" w:space="0" w:color="auto"/>
                              </w:divBdr>
                              <w:divsChild>
                                <w:div w:id="1108114409">
                                  <w:marLeft w:val="251"/>
                                  <w:marRight w:val="0"/>
                                  <w:marTop w:val="0"/>
                                  <w:marBottom w:val="0"/>
                                  <w:divBdr>
                                    <w:top w:val="none" w:sz="0" w:space="0" w:color="auto"/>
                                    <w:left w:val="none" w:sz="0" w:space="0" w:color="auto"/>
                                    <w:bottom w:val="none" w:sz="0" w:space="0" w:color="auto"/>
                                    <w:right w:val="none" w:sz="0" w:space="0" w:color="auto"/>
                                  </w:divBdr>
                                </w:div>
                              </w:divsChild>
                            </w:div>
                            <w:div w:id="1174804250">
                              <w:marLeft w:val="0"/>
                              <w:marRight w:val="0"/>
                              <w:marTop w:val="0"/>
                              <w:marBottom w:val="0"/>
                              <w:divBdr>
                                <w:top w:val="none" w:sz="0" w:space="0" w:color="auto"/>
                                <w:left w:val="none" w:sz="0" w:space="0" w:color="auto"/>
                                <w:bottom w:val="none" w:sz="0" w:space="0" w:color="auto"/>
                                <w:right w:val="none" w:sz="0" w:space="0" w:color="auto"/>
                              </w:divBdr>
                              <w:divsChild>
                                <w:div w:id="1178806944">
                                  <w:marLeft w:val="251"/>
                                  <w:marRight w:val="0"/>
                                  <w:marTop w:val="0"/>
                                  <w:marBottom w:val="0"/>
                                  <w:divBdr>
                                    <w:top w:val="none" w:sz="0" w:space="0" w:color="auto"/>
                                    <w:left w:val="none" w:sz="0" w:space="0" w:color="auto"/>
                                    <w:bottom w:val="none" w:sz="0" w:space="0" w:color="auto"/>
                                    <w:right w:val="none" w:sz="0" w:space="0" w:color="auto"/>
                                  </w:divBdr>
                                </w:div>
                              </w:divsChild>
                            </w:div>
                            <w:div w:id="1186555664">
                              <w:marLeft w:val="0"/>
                              <w:marRight w:val="0"/>
                              <w:marTop w:val="0"/>
                              <w:marBottom w:val="0"/>
                              <w:divBdr>
                                <w:top w:val="none" w:sz="0" w:space="0" w:color="auto"/>
                                <w:left w:val="none" w:sz="0" w:space="0" w:color="auto"/>
                                <w:bottom w:val="none" w:sz="0" w:space="0" w:color="auto"/>
                                <w:right w:val="none" w:sz="0" w:space="0" w:color="auto"/>
                              </w:divBdr>
                              <w:divsChild>
                                <w:div w:id="1319043464">
                                  <w:marLeft w:val="251"/>
                                  <w:marRight w:val="0"/>
                                  <w:marTop w:val="0"/>
                                  <w:marBottom w:val="0"/>
                                  <w:divBdr>
                                    <w:top w:val="none" w:sz="0" w:space="0" w:color="auto"/>
                                    <w:left w:val="none" w:sz="0" w:space="0" w:color="auto"/>
                                    <w:bottom w:val="none" w:sz="0" w:space="0" w:color="auto"/>
                                    <w:right w:val="none" w:sz="0" w:space="0" w:color="auto"/>
                                  </w:divBdr>
                                </w:div>
                              </w:divsChild>
                            </w:div>
                            <w:div w:id="1509632383">
                              <w:marLeft w:val="0"/>
                              <w:marRight w:val="0"/>
                              <w:marTop w:val="0"/>
                              <w:marBottom w:val="0"/>
                              <w:divBdr>
                                <w:top w:val="none" w:sz="0" w:space="0" w:color="auto"/>
                                <w:left w:val="none" w:sz="0" w:space="0" w:color="auto"/>
                                <w:bottom w:val="none" w:sz="0" w:space="0" w:color="auto"/>
                                <w:right w:val="none" w:sz="0" w:space="0" w:color="auto"/>
                              </w:divBdr>
                              <w:divsChild>
                                <w:div w:id="237446909">
                                  <w:marLeft w:val="251"/>
                                  <w:marRight w:val="0"/>
                                  <w:marTop w:val="0"/>
                                  <w:marBottom w:val="0"/>
                                  <w:divBdr>
                                    <w:top w:val="none" w:sz="0" w:space="0" w:color="auto"/>
                                    <w:left w:val="none" w:sz="0" w:space="0" w:color="auto"/>
                                    <w:bottom w:val="none" w:sz="0" w:space="0" w:color="auto"/>
                                    <w:right w:val="none" w:sz="0" w:space="0" w:color="auto"/>
                                  </w:divBdr>
                                </w:div>
                              </w:divsChild>
                            </w:div>
                            <w:div w:id="1726028190">
                              <w:marLeft w:val="0"/>
                              <w:marRight w:val="0"/>
                              <w:marTop w:val="0"/>
                              <w:marBottom w:val="0"/>
                              <w:divBdr>
                                <w:top w:val="none" w:sz="0" w:space="0" w:color="auto"/>
                                <w:left w:val="none" w:sz="0" w:space="0" w:color="auto"/>
                                <w:bottom w:val="none" w:sz="0" w:space="0" w:color="auto"/>
                                <w:right w:val="none" w:sz="0" w:space="0" w:color="auto"/>
                              </w:divBdr>
                              <w:divsChild>
                                <w:div w:id="1995445312">
                                  <w:marLeft w:val="251"/>
                                  <w:marRight w:val="0"/>
                                  <w:marTop w:val="0"/>
                                  <w:marBottom w:val="0"/>
                                  <w:divBdr>
                                    <w:top w:val="none" w:sz="0" w:space="0" w:color="auto"/>
                                    <w:left w:val="none" w:sz="0" w:space="0" w:color="auto"/>
                                    <w:bottom w:val="none" w:sz="0" w:space="0" w:color="auto"/>
                                    <w:right w:val="none" w:sz="0" w:space="0" w:color="auto"/>
                                  </w:divBdr>
                                </w:div>
                              </w:divsChild>
                            </w:div>
                            <w:div w:id="1910991743">
                              <w:marLeft w:val="0"/>
                              <w:marRight w:val="0"/>
                              <w:marTop w:val="0"/>
                              <w:marBottom w:val="0"/>
                              <w:divBdr>
                                <w:top w:val="none" w:sz="0" w:space="0" w:color="auto"/>
                                <w:left w:val="none" w:sz="0" w:space="0" w:color="auto"/>
                                <w:bottom w:val="none" w:sz="0" w:space="0" w:color="auto"/>
                                <w:right w:val="none" w:sz="0" w:space="0" w:color="auto"/>
                              </w:divBdr>
                              <w:divsChild>
                                <w:div w:id="2022245149">
                                  <w:marLeft w:val="251"/>
                                  <w:marRight w:val="0"/>
                                  <w:marTop w:val="0"/>
                                  <w:marBottom w:val="0"/>
                                  <w:divBdr>
                                    <w:top w:val="none" w:sz="0" w:space="0" w:color="auto"/>
                                    <w:left w:val="none" w:sz="0" w:space="0" w:color="auto"/>
                                    <w:bottom w:val="none" w:sz="0" w:space="0" w:color="auto"/>
                                    <w:right w:val="none" w:sz="0" w:space="0" w:color="auto"/>
                                  </w:divBdr>
                                </w:div>
                              </w:divsChild>
                            </w:div>
                            <w:div w:id="2094474524">
                              <w:marLeft w:val="0"/>
                              <w:marRight w:val="0"/>
                              <w:marTop w:val="0"/>
                              <w:marBottom w:val="0"/>
                              <w:divBdr>
                                <w:top w:val="none" w:sz="0" w:space="0" w:color="auto"/>
                                <w:left w:val="none" w:sz="0" w:space="0" w:color="auto"/>
                                <w:bottom w:val="none" w:sz="0" w:space="0" w:color="auto"/>
                                <w:right w:val="none" w:sz="0" w:space="0" w:color="auto"/>
                              </w:divBdr>
                              <w:divsChild>
                                <w:div w:id="558442552">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73255">
      <w:bodyDiv w:val="1"/>
      <w:marLeft w:val="0"/>
      <w:marRight w:val="0"/>
      <w:marTop w:val="0"/>
      <w:marBottom w:val="0"/>
      <w:divBdr>
        <w:top w:val="none" w:sz="0" w:space="0" w:color="auto"/>
        <w:left w:val="none" w:sz="0" w:space="0" w:color="auto"/>
        <w:bottom w:val="none" w:sz="0" w:space="0" w:color="auto"/>
        <w:right w:val="none" w:sz="0" w:space="0" w:color="auto"/>
      </w:divBdr>
      <w:divsChild>
        <w:div w:id="107968478">
          <w:marLeft w:val="0"/>
          <w:marRight w:val="0"/>
          <w:marTop w:val="0"/>
          <w:marBottom w:val="0"/>
          <w:divBdr>
            <w:top w:val="none" w:sz="0" w:space="0" w:color="auto"/>
            <w:left w:val="none" w:sz="0" w:space="0" w:color="auto"/>
            <w:bottom w:val="none" w:sz="0" w:space="0" w:color="auto"/>
            <w:right w:val="none" w:sz="0" w:space="0" w:color="auto"/>
          </w:divBdr>
          <w:divsChild>
            <w:div w:id="1477994430">
              <w:marLeft w:val="0"/>
              <w:marRight w:val="0"/>
              <w:marTop w:val="0"/>
              <w:marBottom w:val="0"/>
              <w:divBdr>
                <w:top w:val="single" w:sz="6" w:space="0" w:color="83AADA"/>
                <w:left w:val="single" w:sz="6" w:space="0" w:color="83AADA"/>
                <w:bottom w:val="single" w:sz="6" w:space="0" w:color="83AADA"/>
                <w:right w:val="single" w:sz="6" w:space="0" w:color="83AADA"/>
              </w:divBdr>
              <w:divsChild>
                <w:div w:id="1642923070">
                  <w:marLeft w:val="0"/>
                  <w:marRight w:val="0"/>
                  <w:marTop w:val="0"/>
                  <w:marBottom w:val="0"/>
                  <w:divBdr>
                    <w:top w:val="none" w:sz="0" w:space="0" w:color="auto"/>
                    <w:left w:val="none" w:sz="0" w:space="0" w:color="auto"/>
                    <w:bottom w:val="none" w:sz="0" w:space="0" w:color="auto"/>
                    <w:right w:val="none" w:sz="0" w:space="0" w:color="auto"/>
                  </w:divBdr>
                  <w:divsChild>
                    <w:div w:id="816610919">
                      <w:marLeft w:val="0"/>
                      <w:marRight w:val="0"/>
                      <w:marTop w:val="0"/>
                      <w:marBottom w:val="0"/>
                      <w:divBdr>
                        <w:top w:val="none" w:sz="0" w:space="0" w:color="auto"/>
                        <w:left w:val="none" w:sz="0" w:space="0" w:color="auto"/>
                        <w:bottom w:val="none" w:sz="0" w:space="0" w:color="auto"/>
                        <w:right w:val="none" w:sz="0" w:space="0" w:color="auto"/>
                      </w:divBdr>
                      <w:divsChild>
                        <w:div w:id="1232933877">
                          <w:marLeft w:val="0"/>
                          <w:marRight w:val="0"/>
                          <w:marTop w:val="0"/>
                          <w:marBottom w:val="0"/>
                          <w:divBdr>
                            <w:top w:val="none" w:sz="0" w:space="0" w:color="auto"/>
                            <w:left w:val="none" w:sz="0" w:space="0" w:color="auto"/>
                            <w:bottom w:val="none" w:sz="0" w:space="0" w:color="auto"/>
                            <w:right w:val="none" w:sz="0" w:space="0" w:color="auto"/>
                          </w:divBdr>
                          <w:divsChild>
                            <w:div w:id="17826816">
                              <w:marLeft w:val="0"/>
                              <w:marRight w:val="0"/>
                              <w:marTop w:val="0"/>
                              <w:marBottom w:val="0"/>
                              <w:divBdr>
                                <w:top w:val="none" w:sz="0" w:space="0" w:color="auto"/>
                                <w:left w:val="none" w:sz="0" w:space="0" w:color="auto"/>
                                <w:bottom w:val="none" w:sz="0" w:space="0" w:color="auto"/>
                                <w:right w:val="none" w:sz="0" w:space="0" w:color="auto"/>
                              </w:divBdr>
                              <w:divsChild>
                                <w:div w:id="1587384">
                                  <w:marLeft w:val="225"/>
                                  <w:marRight w:val="0"/>
                                  <w:marTop w:val="0"/>
                                  <w:marBottom w:val="0"/>
                                  <w:divBdr>
                                    <w:top w:val="none" w:sz="0" w:space="0" w:color="auto"/>
                                    <w:left w:val="none" w:sz="0" w:space="0" w:color="auto"/>
                                    <w:bottom w:val="none" w:sz="0" w:space="0" w:color="auto"/>
                                    <w:right w:val="none" w:sz="0" w:space="0" w:color="auto"/>
                                  </w:divBdr>
                                </w:div>
                              </w:divsChild>
                            </w:div>
                            <w:div w:id="536546222">
                              <w:marLeft w:val="0"/>
                              <w:marRight w:val="0"/>
                              <w:marTop w:val="0"/>
                              <w:marBottom w:val="0"/>
                              <w:divBdr>
                                <w:top w:val="none" w:sz="0" w:space="0" w:color="auto"/>
                                <w:left w:val="none" w:sz="0" w:space="0" w:color="auto"/>
                                <w:bottom w:val="none" w:sz="0" w:space="0" w:color="auto"/>
                                <w:right w:val="none" w:sz="0" w:space="0" w:color="auto"/>
                              </w:divBdr>
                              <w:divsChild>
                                <w:div w:id="1042022874">
                                  <w:marLeft w:val="225"/>
                                  <w:marRight w:val="0"/>
                                  <w:marTop w:val="0"/>
                                  <w:marBottom w:val="0"/>
                                  <w:divBdr>
                                    <w:top w:val="none" w:sz="0" w:space="0" w:color="auto"/>
                                    <w:left w:val="none" w:sz="0" w:space="0" w:color="auto"/>
                                    <w:bottom w:val="none" w:sz="0" w:space="0" w:color="auto"/>
                                    <w:right w:val="none" w:sz="0" w:space="0" w:color="auto"/>
                                  </w:divBdr>
                                </w:div>
                              </w:divsChild>
                            </w:div>
                            <w:div w:id="536744763">
                              <w:marLeft w:val="0"/>
                              <w:marRight w:val="0"/>
                              <w:marTop w:val="0"/>
                              <w:marBottom w:val="0"/>
                              <w:divBdr>
                                <w:top w:val="none" w:sz="0" w:space="0" w:color="auto"/>
                                <w:left w:val="none" w:sz="0" w:space="0" w:color="auto"/>
                                <w:bottom w:val="none" w:sz="0" w:space="0" w:color="auto"/>
                                <w:right w:val="none" w:sz="0" w:space="0" w:color="auto"/>
                              </w:divBdr>
                              <w:divsChild>
                                <w:div w:id="15425560">
                                  <w:marLeft w:val="225"/>
                                  <w:marRight w:val="0"/>
                                  <w:marTop w:val="0"/>
                                  <w:marBottom w:val="0"/>
                                  <w:divBdr>
                                    <w:top w:val="none" w:sz="0" w:space="0" w:color="auto"/>
                                    <w:left w:val="none" w:sz="0" w:space="0" w:color="auto"/>
                                    <w:bottom w:val="none" w:sz="0" w:space="0" w:color="auto"/>
                                    <w:right w:val="none" w:sz="0" w:space="0" w:color="auto"/>
                                  </w:divBdr>
                                </w:div>
                              </w:divsChild>
                            </w:div>
                            <w:div w:id="598487377">
                              <w:marLeft w:val="0"/>
                              <w:marRight w:val="0"/>
                              <w:marTop w:val="0"/>
                              <w:marBottom w:val="0"/>
                              <w:divBdr>
                                <w:top w:val="none" w:sz="0" w:space="0" w:color="auto"/>
                                <w:left w:val="none" w:sz="0" w:space="0" w:color="auto"/>
                                <w:bottom w:val="none" w:sz="0" w:space="0" w:color="auto"/>
                                <w:right w:val="none" w:sz="0" w:space="0" w:color="auto"/>
                              </w:divBdr>
                              <w:divsChild>
                                <w:div w:id="1499074302">
                                  <w:marLeft w:val="225"/>
                                  <w:marRight w:val="0"/>
                                  <w:marTop w:val="0"/>
                                  <w:marBottom w:val="0"/>
                                  <w:divBdr>
                                    <w:top w:val="none" w:sz="0" w:space="0" w:color="auto"/>
                                    <w:left w:val="none" w:sz="0" w:space="0" w:color="auto"/>
                                    <w:bottom w:val="none" w:sz="0" w:space="0" w:color="auto"/>
                                    <w:right w:val="none" w:sz="0" w:space="0" w:color="auto"/>
                                  </w:divBdr>
                                </w:div>
                              </w:divsChild>
                            </w:div>
                            <w:div w:id="1227489611">
                              <w:marLeft w:val="0"/>
                              <w:marRight w:val="0"/>
                              <w:marTop w:val="0"/>
                              <w:marBottom w:val="0"/>
                              <w:divBdr>
                                <w:top w:val="none" w:sz="0" w:space="0" w:color="auto"/>
                                <w:left w:val="none" w:sz="0" w:space="0" w:color="auto"/>
                                <w:bottom w:val="none" w:sz="0" w:space="0" w:color="auto"/>
                                <w:right w:val="none" w:sz="0" w:space="0" w:color="auto"/>
                              </w:divBdr>
                              <w:divsChild>
                                <w:div w:id="1555583988">
                                  <w:marLeft w:val="225"/>
                                  <w:marRight w:val="0"/>
                                  <w:marTop w:val="0"/>
                                  <w:marBottom w:val="0"/>
                                  <w:divBdr>
                                    <w:top w:val="none" w:sz="0" w:space="0" w:color="auto"/>
                                    <w:left w:val="none" w:sz="0" w:space="0" w:color="auto"/>
                                    <w:bottom w:val="none" w:sz="0" w:space="0" w:color="auto"/>
                                    <w:right w:val="none" w:sz="0" w:space="0" w:color="auto"/>
                                  </w:divBdr>
                                </w:div>
                              </w:divsChild>
                            </w:div>
                            <w:div w:id="1273975625">
                              <w:marLeft w:val="0"/>
                              <w:marRight w:val="0"/>
                              <w:marTop w:val="0"/>
                              <w:marBottom w:val="0"/>
                              <w:divBdr>
                                <w:top w:val="none" w:sz="0" w:space="0" w:color="auto"/>
                                <w:left w:val="none" w:sz="0" w:space="0" w:color="auto"/>
                                <w:bottom w:val="none" w:sz="0" w:space="0" w:color="auto"/>
                                <w:right w:val="none" w:sz="0" w:space="0" w:color="auto"/>
                              </w:divBdr>
                              <w:divsChild>
                                <w:div w:id="862860013">
                                  <w:marLeft w:val="225"/>
                                  <w:marRight w:val="0"/>
                                  <w:marTop w:val="0"/>
                                  <w:marBottom w:val="0"/>
                                  <w:divBdr>
                                    <w:top w:val="none" w:sz="0" w:space="0" w:color="auto"/>
                                    <w:left w:val="none" w:sz="0" w:space="0" w:color="auto"/>
                                    <w:bottom w:val="none" w:sz="0" w:space="0" w:color="auto"/>
                                    <w:right w:val="none" w:sz="0" w:space="0" w:color="auto"/>
                                  </w:divBdr>
                                </w:div>
                              </w:divsChild>
                            </w:div>
                            <w:div w:id="1427534446">
                              <w:marLeft w:val="0"/>
                              <w:marRight w:val="0"/>
                              <w:marTop w:val="0"/>
                              <w:marBottom w:val="0"/>
                              <w:divBdr>
                                <w:top w:val="none" w:sz="0" w:space="0" w:color="auto"/>
                                <w:left w:val="none" w:sz="0" w:space="0" w:color="auto"/>
                                <w:bottom w:val="none" w:sz="0" w:space="0" w:color="auto"/>
                                <w:right w:val="none" w:sz="0" w:space="0" w:color="auto"/>
                              </w:divBdr>
                              <w:divsChild>
                                <w:div w:id="633877416">
                                  <w:marLeft w:val="225"/>
                                  <w:marRight w:val="0"/>
                                  <w:marTop w:val="0"/>
                                  <w:marBottom w:val="0"/>
                                  <w:divBdr>
                                    <w:top w:val="none" w:sz="0" w:space="0" w:color="auto"/>
                                    <w:left w:val="none" w:sz="0" w:space="0" w:color="auto"/>
                                    <w:bottom w:val="none" w:sz="0" w:space="0" w:color="auto"/>
                                    <w:right w:val="none" w:sz="0" w:space="0" w:color="auto"/>
                                  </w:divBdr>
                                </w:div>
                              </w:divsChild>
                            </w:div>
                            <w:div w:id="1568953405">
                              <w:marLeft w:val="0"/>
                              <w:marRight w:val="0"/>
                              <w:marTop w:val="0"/>
                              <w:marBottom w:val="0"/>
                              <w:divBdr>
                                <w:top w:val="none" w:sz="0" w:space="0" w:color="auto"/>
                                <w:left w:val="none" w:sz="0" w:space="0" w:color="auto"/>
                                <w:bottom w:val="none" w:sz="0" w:space="0" w:color="auto"/>
                                <w:right w:val="none" w:sz="0" w:space="0" w:color="auto"/>
                              </w:divBdr>
                              <w:divsChild>
                                <w:div w:id="21169035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97520">
      <w:bodyDiv w:val="1"/>
      <w:marLeft w:val="0"/>
      <w:marRight w:val="0"/>
      <w:marTop w:val="0"/>
      <w:marBottom w:val="0"/>
      <w:divBdr>
        <w:top w:val="none" w:sz="0" w:space="0" w:color="auto"/>
        <w:left w:val="none" w:sz="0" w:space="0" w:color="auto"/>
        <w:bottom w:val="none" w:sz="0" w:space="0" w:color="auto"/>
        <w:right w:val="none" w:sz="0" w:space="0" w:color="auto"/>
      </w:divBdr>
    </w:div>
    <w:div w:id="804930534">
      <w:bodyDiv w:val="1"/>
      <w:marLeft w:val="0"/>
      <w:marRight w:val="0"/>
      <w:marTop w:val="0"/>
      <w:marBottom w:val="0"/>
      <w:divBdr>
        <w:top w:val="none" w:sz="0" w:space="0" w:color="auto"/>
        <w:left w:val="none" w:sz="0" w:space="0" w:color="auto"/>
        <w:bottom w:val="none" w:sz="0" w:space="0" w:color="auto"/>
        <w:right w:val="none" w:sz="0" w:space="0" w:color="auto"/>
      </w:divBdr>
      <w:divsChild>
        <w:div w:id="392461912">
          <w:marLeft w:val="0"/>
          <w:marRight w:val="0"/>
          <w:marTop w:val="0"/>
          <w:marBottom w:val="0"/>
          <w:divBdr>
            <w:top w:val="none" w:sz="0" w:space="0" w:color="auto"/>
            <w:left w:val="none" w:sz="0" w:space="0" w:color="auto"/>
            <w:bottom w:val="none" w:sz="0" w:space="0" w:color="auto"/>
            <w:right w:val="none" w:sz="0" w:space="0" w:color="auto"/>
          </w:divBdr>
          <w:divsChild>
            <w:div w:id="500052172">
              <w:marLeft w:val="0"/>
              <w:marRight w:val="0"/>
              <w:marTop w:val="0"/>
              <w:marBottom w:val="0"/>
              <w:divBdr>
                <w:top w:val="single" w:sz="6" w:space="0" w:color="83AADA"/>
                <w:left w:val="single" w:sz="6" w:space="0" w:color="83AADA"/>
                <w:bottom w:val="single" w:sz="6" w:space="0" w:color="83AADA"/>
                <w:right w:val="single" w:sz="6" w:space="0" w:color="83AADA"/>
              </w:divBdr>
              <w:divsChild>
                <w:div w:id="13119182">
                  <w:marLeft w:val="0"/>
                  <w:marRight w:val="0"/>
                  <w:marTop w:val="0"/>
                  <w:marBottom w:val="0"/>
                  <w:divBdr>
                    <w:top w:val="none" w:sz="0" w:space="0" w:color="auto"/>
                    <w:left w:val="none" w:sz="0" w:space="0" w:color="auto"/>
                    <w:bottom w:val="none" w:sz="0" w:space="0" w:color="auto"/>
                    <w:right w:val="none" w:sz="0" w:space="0" w:color="auto"/>
                  </w:divBdr>
                  <w:divsChild>
                    <w:div w:id="1208451044">
                      <w:marLeft w:val="0"/>
                      <w:marRight w:val="0"/>
                      <w:marTop w:val="0"/>
                      <w:marBottom w:val="0"/>
                      <w:divBdr>
                        <w:top w:val="none" w:sz="0" w:space="0" w:color="auto"/>
                        <w:left w:val="none" w:sz="0" w:space="0" w:color="auto"/>
                        <w:bottom w:val="none" w:sz="0" w:space="0" w:color="auto"/>
                        <w:right w:val="none" w:sz="0" w:space="0" w:color="auto"/>
                      </w:divBdr>
                      <w:divsChild>
                        <w:div w:id="2078938889">
                          <w:marLeft w:val="0"/>
                          <w:marRight w:val="0"/>
                          <w:marTop w:val="0"/>
                          <w:marBottom w:val="0"/>
                          <w:divBdr>
                            <w:top w:val="none" w:sz="0" w:space="0" w:color="auto"/>
                            <w:left w:val="none" w:sz="0" w:space="0" w:color="auto"/>
                            <w:bottom w:val="none" w:sz="0" w:space="0" w:color="auto"/>
                            <w:right w:val="none" w:sz="0" w:space="0" w:color="auto"/>
                          </w:divBdr>
                          <w:divsChild>
                            <w:div w:id="382600316">
                              <w:marLeft w:val="0"/>
                              <w:marRight w:val="0"/>
                              <w:marTop w:val="0"/>
                              <w:marBottom w:val="0"/>
                              <w:divBdr>
                                <w:top w:val="none" w:sz="0" w:space="0" w:color="auto"/>
                                <w:left w:val="none" w:sz="0" w:space="0" w:color="auto"/>
                                <w:bottom w:val="none" w:sz="0" w:space="0" w:color="auto"/>
                                <w:right w:val="none" w:sz="0" w:space="0" w:color="auto"/>
                              </w:divBdr>
                              <w:divsChild>
                                <w:div w:id="935599834">
                                  <w:marLeft w:val="225"/>
                                  <w:marRight w:val="0"/>
                                  <w:marTop w:val="0"/>
                                  <w:marBottom w:val="0"/>
                                  <w:divBdr>
                                    <w:top w:val="none" w:sz="0" w:space="0" w:color="auto"/>
                                    <w:left w:val="none" w:sz="0" w:space="0" w:color="auto"/>
                                    <w:bottom w:val="none" w:sz="0" w:space="0" w:color="auto"/>
                                    <w:right w:val="none" w:sz="0" w:space="0" w:color="auto"/>
                                  </w:divBdr>
                                </w:div>
                              </w:divsChild>
                            </w:div>
                            <w:div w:id="406612831">
                              <w:marLeft w:val="0"/>
                              <w:marRight w:val="0"/>
                              <w:marTop w:val="0"/>
                              <w:marBottom w:val="0"/>
                              <w:divBdr>
                                <w:top w:val="none" w:sz="0" w:space="0" w:color="auto"/>
                                <w:left w:val="none" w:sz="0" w:space="0" w:color="auto"/>
                                <w:bottom w:val="none" w:sz="0" w:space="0" w:color="auto"/>
                                <w:right w:val="none" w:sz="0" w:space="0" w:color="auto"/>
                              </w:divBdr>
                              <w:divsChild>
                                <w:div w:id="627707629">
                                  <w:marLeft w:val="225"/>
                                  <w:marRight w:val="0"/>
                                  <w:marTop w:val="0"/>
                                  <w:marBottom w:val="0"/>
                                  <w:divBdr>
                                    <w:top w:val="none" w:sz="0" w:space="0" w:color="auto"/>
                                    <w:left w:val="none" w:sz="0" w:space="0" w:color="auto"/>
                                    <w:bottom w:val="none" w:sz="0" w:space="0" w:color="auto"/>
                                    <w:right w:val="none" w:sz="0" w:space="0" w:color="auto"/>
                                  </w:divBdr>
                                </w:div>
                              </w:divsChild>
                            </w:div>
                            <w:div w:id="494809148">
                              <w:marLeft w:val="0"/>
                              <w:marRight w:val="0"/>
                              <w:marTop w:val="0"/>
                              <w:marBottom w:val="0"/>
                              <w:divBdr>
                                <w:top w:val="none" w:sz="0" w:space="0" w:color="auto"/>
                                <w:left w:val="none" w:sz="0" w:space="0" w:color="auto"/>
                                <w:bottom w:val="none" w:sz="0" w:space="0" w:color="auto"/>
                                <w:right w:val="none" w:sz="0" w:space="0" w:color="auto"/>
                              </w:divBdr>
                              <w:divsChild>
                                <w:div w:id="1389570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6918">
      <w:bodyDiv w:val="1"/>
      <w:marLeft w:val="0"/>
      <w:marRight w:val="0"/>
      <w:marTop w:val="0"/>
      <w:marBottom w:val="0"/>
      <w:divBdr>
        <w:top w:val="none" w:sz="0" w:space="0" w:color="auto"/>
        <w:left w:val="none" w:sz="0" w:space="0" w:color="auto"/>
        <w:bottom w:val="none" w:sz="0" w:space="0" w:color="auto"/>
        <w:right w:val="none" w:sz="0" w:space="0" w:color="auto"/>
      </w:divBdr>
    </w:div>
    <w:div w:id="1252540536">
      <w:bodyDiv w:val="1"/>
      <w:marLeft w:val="0"/>
      <w:marRight w:val="0"/>
      <w:marTop w:val="0"/>
      <w:marBottom w:val="0"/>
      <w:divBdr>
        <w:top w:val="none" w:sz="0" w:space="0" w:color="auto"/>
        <w:left w:val="none" w:sz="0" w:space="0" w:color="auto"/>
        <w:bottom w:val="none" w:sz="0" w:space="0" w:color="auto"/>
        <w:right w:val="none" w:sz="0" w:space="0" w:color="auto"/>
      </w:divBdr>
    </w:div>
    <w:div w:id="1275789655">
      <w:bodyDiv w:val="1"/>
      <w:marLeft w:val="0"/>
      <w:marRight w:val="0"/>
      <w:marTop w:val="0"/>
      <w:marBottom w:val="0"/>
      <w:divBdr>
        <w:top w:val="none" w:sz="0" w:space="0" w:color="auto"/>
        <w:left w:val="none" w:sz="0" w:space="0" w:color="auto"/>
        <w:bottom w:val="none" w:sz="0" w:space="0" w:color="auto"/>
        <w:right w:val="none" w:sz="0" w:space="0" w:color="auto"/>
      </w:divBdr>
    </w:div>
    <w:div w:id="1522015373">
      <w:bodyDiv w:val="1"/>
      <w:marLeft w:val="0"/>
      <w:marRight w:val="0"/>
      <w:marTop w:val="0"/>
      <w:marBottom w:val="0"/>
      <w:divBdr>
        <w:top w:val="none" w:sz="0" w:space="0" w:color="auto"/>
        <w:left w:val="none" w:sz="0" w:space="0" w:color="auto"/>
        <w:bottom w:val="none" w:sz="0" w:space="0" w:color="auto"/>
        <w:right w:val="none" w:sz="0" w:space="0" w:color="auto"/>
      </w:divBdr>
    </w:div>
    <w:div w:id="1585258849">
      <w:bodyDiv w:val="1"/>
      <w:marLeft w:val="0"/>
      <w:marRight w:val="0"/>
      <w:marTop w:val="0"/>
      <w:marBottom w:val="0"/>
      <w:divBdr>
        <w:top w:val="none" w:sz="0" w:space="0" w:color="auto"/>
        <w:left w:val="none" w:sz="0" w:space="0" w:color="auto"/>
        <w:bottom w:val="none" w:sz="0" w:space="0" w:color="auto"/>
        <w:right w:val="none" w:sz="0" w:space="0" w:color="auto"/>
      </w:divBdr>
    </w:div>
    <w:div w:id="1604917310">
      <w:bodyDiv w:val="1"/>
      <w:marLeft w:val="0"/>
      <w:marRight w:val="0"/>
      <w:marTop w:val="0"/>
      <w:marBottom w:val="0"/>
      <w:divBdr>
        <w:top w:val="none" w:sz="0" w:space="0" w:color="auto"/>
        <w:left w:val="none" w:sz="0" w:space="0" w:color="auto"/>
        <w:bottom w:val="none" w:sz="0" w:space="0" w:color="auto"/>
        <w:right w:val="none" w:sz="0" w:space="0" w:color="auto"/>
      </w:divBdr>
      <w:divsChild>
        <w:div w:id="899362104">
          <w:marLeft w:val="0"/>
          <w:marRight w:val="0"/>
          <w:marTop w:val="0"/>
          <w:marBottom w:val="0"/>
          <w:divBdr>
            <w:top w:val="none" w:sz="0" w:space="0" w:color="auto"/>
            <w:left w:val="none" w:sz="0" w:space="0" w:color="auto"/>
            <w:bottom w:val="none" w:sz="0" w:space="0" w:color="auto"/>
            <w:right w:val="none" w:sz="0" w:space="0" w:color="auto"/>
          </w:divBdr>
          <w:divsChild>
            <w:div w:id="1561554773">
              <w:marLeft w:val="0"/>
              <w:marRight w:val="0"/>
              <w:marTop w:val="0"/>
              <w:marBottom w:val="0"/>
              <w:divBdr>
                <w:top w:val="single" w:sz="6" w:space="0" w:color="83AADA"/>
                <w:left w:val="single" w:sz="6" w:space="0" w:color="83AADA"/>
                <w:bottom w:val="single" w:sz="6" w:space="0" w:color="83AADA"/>
                <w:right w:val="single" w:sz="6" w:space="0" w:color="83AADA"/>
              </w:divBdr>
              <w:divsChild>
                <w:div w:id="1809587087">
                  <w:marLeft w:val="0"/>
                  <w:marRight w:val="0"/>
                  <w:marTop w:val="0"/>
                  <w:marBottom w:val="0"/>
                  <w:divBdr>
                    <w:top w:val="none" w:sz="0" w:space="0" w:color="auto"/>
                    <w:left w:val="none" w:sz="0" w:space="0" w:color="auto"/>
                    <w:bottom w:val="none" w:sz="0" w:space="0" w:color="auto"/>
                    <w:right w:val="none" w:sz="0" w:space="0" w:color="auto"/>
                  </w:divBdr>
                  <w:divsChild>
                    <w:div w:id="1930121418">
                      <w:marLeft w:val="0"/>
                      <w:marRight w:val="0"/>
                      <w:marTop w:val="0"/>
                      <w:marBottom w:val="0"/>
                      <w:divBdr>
                        <w:top w:val="none" w:sz="0" w:space="0" w:color="auto"/>
                        <w:left w:val="none" w:sz="0" w:space="0" w:color="auto"/>
                        <w:bottom w:val="none" w:sz="0" w:space="0" w:color="auto"/>
                        <w:right w:val="none" w:sz="0" w:space="0" w:color="auto"/>
                      </w:divBdr>
                      <w:divsChild>
                        <w:div w:id="1008294965">
                          <w:marLeft w:val="0"/>
                          <w:marRight w:val="0"/>
                          <w:marTop w:val="0"/>
                          <w:marBottom w:val="0"/>
                          <w:divBdr>
                            <w:top w:val="none" w:sz="0" w:space="0" w:color="auto"/>
                            <w:left w:val="none" w:sz="0" w:space="0" w:color="auto"/>
                            <w:bottom w:val="none" w:sz="0" w:space="0" w:color="auto"/>
                            <w:right w:val="none" w:sz="0" w:space="0" w:color="auto"/>
                          </w:divBdr>
                          <w:divsChild>
                            <w:div w:id="167641572">
                              <w:marLeft w:val="0"/>
                              <w:marRight w:val="0"/>
                              <w:marTop w:val="0"/>
                              <w:marBottom w:val="0"/>
                              <w:divBdr>
                                <w:top w:val="none" w:sz="0" w:space="0" w:color="auto"/>
                                <w:left w:val="none" w:sz="0" w:space="0" w:color="auto"/>
                                <w:bottom w:val="none" w:sz="0" w:space="0" w:color="auto"/>
                                <w:right w:val="none" w:sz="0" w:space="0" w:color="auto"/>
                              </w:divBdr>
                              <w:divsChild>
                                <w:div w:id="1853569218">
                                  <w:marLeft w:val="225"/>
                                  <w:marRight w:val="0"/>
                                  <w:marTop w:val="0"/>
                                  <w:marBottom w:val="0"/>
                                  <w:divBdr>
                                    <w:top w:val="none" w:sz="0" w:space="0" w:color="auto"/>
                                    <w:left w:val="none" w:sz="0" w:space="0" w:color="auto"/>
                                    <w:bottom w:val="none" w:sz="0" w:space="0" w:color="auto"/>
                                    <w:right w:val="none" w:sz="0" w:space="0" w:color="auto"/>
                                  </w:divBdr>
                                </w:div>
                              </w:divsChild>
                            </w:div>
                            <w:div w:id="384915643">
                              <w:marLeft w:val="0"/>
                              <w:marRight w:val="0"/>
                              <w:marTop w:val="0"/>
                              <w:marBottom w:val="0"/>
                              <w:divBdr>
                                <w:top w:val="none" w:sz="0" w:space="0" w:color="auto"/>
                                <w:left w:val="none" w:sz="0" w:space="0" w:color="auto"/>
                                <w:bottom w:val="none" w:sz="0" w:space="0" w:color="auto"/>
                                <w:right w:val="none" w:sz="0" w:space="0" w:color="auto"/>
                              </w:divBdr>
                              <w:divsChild>
                                <w:div w:id="964505734">
                                  <w:marLeft w:val="225"/>
                                  <w:marRight w:val="0"/>
                                  <w:marTop w:val="0"/>
                                  <w:marBottom w:val="0"/>
                                  <w:divBdr>
                                    <w:top w:val="none" w:sz="0" w:space="0" w:color="auto"/>
                                    <w:left w:val="none" w:sz="0" w:space="0" w:color="auto"/>
                                    <w:bottom w:val="none" w:sz="0" w:space="0" w:color="auto"/>
                                    <w:right w:val="none" w:sz="0" w:space="0" w:color="auto"/>
                                  </w:divBdr>
                                </w:div>
                              </w:divsChild>
                            </w:div>
                            <w:div w:id="550965900">
                              <w:marLeft w:val="0"/>
                              <w:marRight w:val="0"/>
                              <w:marTop w:val="0"/>
                              <w:marBottom w:val="0"/>
                              <w:divBdr>
                                <w:top w:val="none" w:sz="0" w:space="0" w:color="auto"/>
                                <w:left w:val="none" w:sz="0" w:space="0" w:color="auto"/>
                                <w:bottom w:val="none" w:sz="0" w:space="0" w:color="auto"/>
                                <w:right w:val="none" w:sz="0" w:space="0" w:color="auto"/>
                              </w:divBdr>
                              <w:divsChild>
                                <w:div w:id="1887255914">
                                  <w:marLeft w:val="225"/>
                                  <w:marRight w:val="0"/>
                                  <w:marTop w:val="0"/>
                                  <w:marBottom w:val="0"/>
                                  <w:divBdr>
                                    <w:top w:val="none" w:sz="0" w:space="0" w:color="auto"/>
                                    <w:left w:val="none" w:sz="0" w:space="0" w:color="auto"/>
                                    <w:bottom w:val="none" w:sz="0" w:space="0" w:color="auto"/>
                                    <w:right w:val="none" w:sz="0" w:space="0" w:color="auto"/>
                                  </w:divBdr>
                                </w:div>
                              </w:divsChild>
                            </w:div>
                            <w:div w:id="699890902">
                              <w:marLeft w:val="0"/>
                              <w:marRight w:val="0"/>
                              <w:marTop w:val="0"/>
                              <w:marBottom w:val="0"/>
                              <w:divBdr>
                                <w:top w:val="none" w:sz="0" w:space="0" w:color="auto"/>
                                <w:left w:val="none" w:sz="0" w:space="0" w:color="auto"/>
                                <w:bottom w:val="none" w:sz="0" w:space="0" w:color="auto"/>
                                <w:right w:val="none" w:sz="0" w:space="0" w:color="auto"/>
                              </w:divBdr>
                              <w:divsChild>
                                <w:div w:id="591545890">
                                  <w:marLeft w:val="225"/>
                                  <w:marRight w:val="0"/>
                                  <w:marTop w:val="0"/>
                                  <w:marBottom w:val="0"/>
                                  <w:divBdr>
                                    <w:top w:val="none" w:sz="0" w:space="0" w:color="auto"/>
                                    <w:left w:val="none" w:sz="0" w:space="0" w:color="auto"/>
                                    <w:bottom w:val="none" w:sz="0" w:space="0" w:color="auto"/>
                                    <w:right w:val="none" w:sz="0" w:space="0" w:color="auto"/>
                                  </w:divBdr>
                                </w:div>
                              </w:divsChild>
                            </w:div>
                            <w:div w:id="1518619519">
                              <w:marLeft w:val="0"/>
                              <w:marRight w:val="0"/>
                              <w:marTop w:val="0"/>
                              <w:marBottom w:val="0"/>
                              <w:divBdr>
                                <w:top w:val="none" w:sz="0" w:space="0" w:color="auto"/>
                                <w:left w:val="none" w:sz="0" w:space="0" w:color="auto"/>
                                <w:bottom w:val="none" w:sz="0" w:space="0" w:color="auto"/>
                                <w:right w:val="none" w:sz="0" w:space="0" w:color="auto"/>
                              </w:divBdr>
                              <w:divsChild>
                                <w:div w:id="192810127">
                                  <w:marLeft w:val="225"/>
                                  <w:marRight w:val="0"/>
                                  <w:marTop w:val="0"/>
                                  <w:marBottom w:val="0"/>
                                  <w:divBdr>
                                    <w:top w:val="none" w:sz="0" w:space="0" w:color="auto"/>
                                    <w:left w:val="none" w:sz="0" w:space="0" w:color="auto"/>
                                    <w:bottom w:val="none" w:sz="0" w:space="0" w:color="auto"/>
                                    <w:right w:val="none" w:sz="0" w:space="0" w:color="auto"/>
                                  </w:divBdr>
                                </w:div>
                              </w:divsChild>
                            </w:div>
                            <w:div w:id="1553811374">
                              <w:marLeft w:val="0"/>
                              <w:marRight w:val="0"/>
                              <w:marTop w:val="0"/>
                              <w:marBottom w:val="0"/>
                              <w:divBdr>
                                <w:top w:val="none" w:sz="0" w:space="0" w:color="auto"/>
                                <w:left w:val="none" w:sz="0" w:space="0" w:color="auto"/>
                                <w:bottom w:val="none" w:sz="0" w:space="0" w:color="auto"/>
                                <w:right w:val="none" w:sz="0" w:space="0" w:color="auto"/>
                              </w:divBdr>
                              <w:divsChild>
                                <w:div w:id="1555658956">
                                  <w:marLeft w:val="225"/>
                                  <w:marRight w:val="0"/>
                                  <w:marTop w:val="0"/>
                                  <w:marBottom w:val="0"/>
                                  <w:divBdr>
                                    <w:top w:val="none" w:sz="0" w:space="0" w:color="auto"/>
                                    <w:left w:val="none" w:sz="0" w:space="0" w:color="auto"/>
                                    <w:bottom w:val="none" w:sz="0" w:space="0" w:color="auto"/>
                                    <w:right w:val="none" w:sz="0" w:space="0" w:color="auto"/>
                                  </w:divBdr>
                                </w:div>
                              </w:divsChild>
                            </w:div>
                            <w:div w:id="1610695029">
                              <w:marLeft w:val="0"/>
                              <w:marRight w:val="0"/>
                              <w:marTop w:val="0"/>
                              <w:marBottom w:val="0"/>
                              <w:divBdr>
                                <w:top w:val="none" w:sz="0" w:space="0" w:color="auto"/>
                                <w:left w:val="none" w:sz="0" w:space="0" w:color="auto"/>
                                <w:bottom w:val="none" w:sz="0" w:space="0" w:color="auto"/>
                                <w:right w:val="none" w:sz="0" w:space="0" w:color="auto"/>
                              </w:divBdr>
                              <w:divsChild>
                                <w:div w:id="736318846">
                                  <w:marLeft w:val="225"/>
                                  <w:marRight w:val="0"/>
                                  <w:marTop w:val="0"/>
                                  <w:marBottom w:val="0"/>
                                  <w:divBdr>
                                    <w:top w:val="none" w:sz="0" w:space="0" w:color="auto"/>
                                    <w:left w:val="none" w:sz="0" w:space="0" w:color="auto"/>
                                    <w:bottom w:val="none" w:sz="0" w:space="0" w:color="auto"/>
                                    <w:right w:val="none" w:sz="0" w:space="0" w:color="auto"/>
                                  </w:divBdr>
                                </w:div>
                              </w:divsChild>
                            </w:div>
                            <w:div w:id="2021274292">
                              <w:marLeft w:val="0"/>
                              <w:marRight w:val="0"/>
                              <w:marTop w:val="0"/>
                              <w:marBottom w:val="0"/>
                              <w:divBdr>
                                <w:top w:val="none" w:sz="0" w:space="0" w:color="auto"/>
                                <w:left w:val="none" w:sz="0" w:space="0" w:color="auto"/>
                                <w:bottom w:val="none" w:sz="0" w:space="0" w:color="auto"/>
                                <w:right w:val="none" w:sz="0" w:space="0" w:color="auto"/>
                              </w:divBdr>
                              <w:divsChild>
                                <w:div w:id="411657039">
                                  <w:marLeft w:val="225"/>
                                  <w:marRight w:val="0"/>
                                  <w:marTop w:val="0"/>
                                  <w:marBottom w:val="0"/>
                                  <w:divBdr>
                                    <w:top w:val="none" w:sz="0" w:space="0" w:color="auto"/>
                                    <w:left w:val="none" w:sz="0" w:space="0" w:color="auto"/>
                                    <w:bottom w:val="none" w:sz="0" w:space="0" w:color="auto"/>
                                    <w:right w:val="none" w:sz="0" w:space="0" w:color="auto"/>
                                  </w:divBdr>
                                </w:div>
                              </w:divsChild>
                            </w:div>
                            <w:div w:id="2090343709">
                              <w:marLeft w:val="0"/>
                              <w:marRight w:val="0"/>
                              <w:marTop w:val="0"/>
                              <w:marBottom w:val="0"/>
                              <w:divBdr>
                                <w:top w:val="none" w:sz="0" w:space="0" w:color="auto"/>
                                <w:left w:val="none" w:sz="0" w:space="0" w:color="auto"/>
                                <w:bottom w:val="none" w:sz="0" w:space="0" w:color="auto"/>
                                <w:right w:val="none" w:sz="0" w:space="0" w:color="auto"/>
                              </w:divBdr>
                              <w:divsChild>
                                <w:div w:id="3012764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20766">
      <w:bodyDiv w:val="1"/>
      <w:marLeft w:val="0"/>
      <w:marRight w:val="0"/>
      <w:marTop w:val="0"/>
      <w:marBottom w:val="0"/>
      <w:divBdr>
        <w:top w:val="none" w:sz="0" w:space="0" w:color="auto"/>
        <w:left w:val="none" w:sz="0" w:space="0" w:color="auto"/>
        <w:bottom w:val="none" w:sz="0" w:space="0" w:color="auto"/>
        <w:right w:val="none" w:sz="0" w:space="0" w:color="auto"/>
      </w:divBdr>
    </w:div>
    <w:div w:id="1944219922">
      <w:bodyDiv w:val="1"/>
      <w:marLeft w:val="0"/>
      <w:marRight w:val="0"/>
      <w:marTop w:val="0"/>
      <w:marBottom w:val="0"/>
      <w:divBdr>
        <w:top w:val="none" w:sz="0" w:space="0" w:color="auto"/>
        <w:left w:val="none" w:sz="0" w:space="0" w:color="auto"/>
        <w:bottom w:val="none" w:sz="0" w:space="0" w:color="auto"/>
        <w:right w:val="none" w:sz="0" w:space="0" w:color="auto"/>
      </w:divBdr>
    </w:div>
    <w:div w:id="2018535631">
      <w:bodyDiv w:val="1"/>
      <w:marLeft w:val="0"/>
      <w:marRight w:val="0"/>
      <w:marTop w:val="0"/>
      <w:marBottom w:val="0"/>
      <w:divBdr>
        <w:top w:val="none" w:sz="0" w:space="0" w:color="auto"/>
        <w:left w:val="none" w:sz="0" w:space="0" w:color="auto"/>
        <w:bottom w:val="none" w:sz="0" w:space="0" w:color="auto"/>
        <w:right w:val="none" w:sz="0" w:space="0" w:color="auto"/>
      </w:divBdr>
    </w:div>
    <w:div w:id="2099059706">
      <w:bodyDiv w:val="1"/>
      <w:marLeft w:val="0"/>
      <w:marRight w:val="0"/>
      <w:marTop w:val="0"/>
      <w:marBottom w:val="0"/>
      <w:divBdr>
        <w:top w:val="none" w:sz="0" w:space="0" w:color="auto"/>
        <w:left w:val="none" w:sz="0" w:space="0" w:color="auto"/>
        <w:bottom w:val="none" w:sz="0" w:space="0" w:color="auto"/>
        <w:right w:val="none" w:sz="0" w:space="0" w:color="auto"/>
      </w:divBdr>
    </w:div>
    <w:div w:id="2104758008">
      <w:bodyDiv w:val="1"/>
      <w:marLeft w:val="0"/>
      <w:marRight w:val="0"/>
      <w:marTop w:val="0"/>
      <w:marBottom w:val="0"/>
      <w:divBdr>
        <w:top w:val="none" w:sz="0" w:space="0" w:color="auto"/>
        <w:left w:val="none" w:sz="0" w:space="0" w:color="auto"/>
        <w:bottom w:val="none" w:sz="0" w:space="0" w:color="auto"/>
        <w:right w:val="none" w:sz="0" w:space="0" w:color="auto"/>
      </w:divBdr>
      <w:divsChild>
        <w:div w:id="1379627333">
          <w:marLeft w:val="0"/>
          <w:marRight w:val="0"/>
          <w:marTop w:val="0"/>
          <w:marBottom w:val="0"/>
          <w:divBdr>
            <w:top w:val="none" w:sz="0" w:space="0" w:color="auto"/>
            <w:left w:val="none" w:sz="0" w:space="0" w:color="auto"/>
            <w:bottom w:val="none" w:sz="0" w:space="0" w:color="auto"/>
            <w:right w:val="none" w:sz="0" w:space="0" w:color="auto"/>
          </w:divBdr>
          <w:divsChild>
            <w:div w:id="832768550">
              <w:marLeft w:val="0"/>
              <w:marRight w:val="0"/>
              <w:marTop w:val="0"/>
              <w:marBottom w:val="0"/>
              <w:divBdr>
                <w:top w:val="single" w:sz="6" w:space="0" w:color="83AADA"/>
                <w:left w:val="single" w:sz="6" w:space="0" w:color="83AADA"/>
                <w:bottom w:val="single" w:sz="6" w:space="0" w:color="83AADA"/>
                <w:right w:val="single" w:sz="6" w:space="0" w:color="83AADA"/>
              </w:divBdr>
              <w:divsChild>
                <w:div w:id="1410224915">
                  <w:marLeft w:val="0"/>
                  <w:marRight w:val="0"/>
                  <w:marTop w:val="0"/>
                  <w:marBottom w:val="0"/>
                  <w:divBdr>
                    <w:top w:val="none" w:sz="0" w:space="0" w:color="auto"/>
                    <w:left w:val="none" w:sz="0" w:space="0" w:color="auto"/>
                    <w:bottom w:val="none" w:sz="0" w:space="0" w:color="auto"/>
                    <w:right w:val="none" w:sz="0" w:space="0" w:color="auto"/>
                  </w:divBdr>
                  <w:divsChild>
                    <w:div w:id="1311910423">
                      <w:marLeft w:val="0"/>
                      <w:marRight w:val="0"/>
                      <w:marTop w:val="0"/>
                      <w:marBottom w:val="0"/>
                      <w:divBdr>
                        <w:top w:val="none" w:sz="0" w:space="0" w:color="auto"/>
                        <w:left w:val="none" w:sz="0" w:space="0" w:color="auto"/>
                        <w:bottom w:val="none" w:sz="0" w:space="0" w:color="auto"/>
                        <w:right w:val="none" w:sz="0" w:space="0" w:color="auto"/>
                      </w:divBdr>
                      <w:divsChild>
                        <w:div w:id="581137031">
                          <w:marLeft w:val="0"/>
                          <w:marRight w:val="0"/>
                          <w:marTop w:val="0"/>
                          <w:marBottom w:val="0"/>
                          <w:divBdr>
                            <w:top w:val="none" w:sz="0" w:space="0" w:color="auto"/>
                            <w:left w:val="none" w:sz="0" w:space="0" w:color="auto"/>
                            <w:bottom w:val="none" w:sz="0" w:space="0" w:color="auto"/>
                            <w:right w:val="none" w:sz="0" w:space="0" w:color="auto"/>
                          </w:divBdr>
                          <w:divsChild>
                            <w:div w:id="489366075">
                              <w:marLeft w:val="0"/>
                              <w:marRight w:val="0"/>
                              <w:marTop w:val="0"/>
                              <w:marBottom w:val="0"/>
                              <w:divBdr>
                                <w:top w:val="none" w:sz="0" w:space="0" w:color="auto"/>
                                <w:left w:val="none" w:sz="0" w:space="0" w:color="auto"/>
                                <w:bottom w:val="none" w:sz="0" w:space="0" w:color="auto"/>
                                <w:right w:val="none" w:sz="0" w:space="0" w:color="auto"/>
                              </w:divBdr>
                              <w:divsChild>
                                <w:div w:id="1376082554">
                                  <w:marLeft w:val="225"/>
                                  <w:marRight w:val="0"/>
                                  <w:marTop w:val="0"/>
                                  <w:marBottom w:val="0"/>
                                  <w:divBdr>
                                    <w:top w:val="none" w:sz="0" w:space="0" w:color="auto"/>
                                    <w:left w:val="none" w:sz="0" w:space="0" w:color="auto"/>
                                    <w:bottom w:val="none" w:sz="0" w:space="0" w:color="auto"/>
                                    <w:right w:val="none" w:sz="0" w:space="0" w:color="auto"/>
                                  </w:divBdr>
                                </w:div>
                              </w:divsChild>
                            </w:div>
                            <w:div w:id="609093259">
                              <w:marLeft w:val="0"/>
                              <w:marRight w:val="0"/>
                              <w:marTop w:val="0"/>
                              <w:marBottom w:val="0"/>
                              <w:divBdr>
                                <w:top w:val="none" w:sz="0" w:space="0" w:color="auto"/>
                                <w:left w:val="none" w:sz="0" w:space="0" w:color="auto"/>
                                <w:bottom w:val="none" w:sz="0" w:space="0" w:color="auto"/>
                                <w:right w:val="none" w:sz="0" w:space="0" w:color="auto"/>
                              </w:divBdr>
                              <w:divsChild>
                                <w:div w:id="1224873012">
                                  <w:marLeft w:val="225"/>
                                  <w:marRight w:val="0"/>
                                  <w:marTop w:val="0"/>
                                  <w:marBottom w:val="0"/>
                                  <w:divBdr>
                                    <w:top w:val="none" w:sz="0" w:space="0" w:color="auto"/>
                                    <w:left w:val="none" w:sz="0" w:space="0" w:color="auto"/>
                                    <w:bottom w:val="none" w:sz="0" w:space="0" w:color="auto"/>
                                    <w:right w:val="none" w:sz="0" w:space="0" w:color="auto"/>
                                  </w:divBdr>
                                </w:div>
                              </w:divsChild>
                            </w:div>
                            <w:div w:id="755369288">
                              <w:marLeft w:val="0"/>
                              <w:marRight w:val="0"/>
                              <w:marTop w:val="0"/>
                              <w:marBottom w:val="0"/>
                              <w:divBdr>
                                <w:top w:val="none" w:sz="0" w:space="0" w:color="auto"/>
                                <w:left w:val="none" w:sz="0" w:space="0" w:color="auto"/>
                                <w:bottom w:val="none" w:sz="0" w:space="0" w:color="auto"/>
                                <w:right w:val="none" w:sz="0" w:space="0" w:color="auto"/>
                              </w:divBdr>
                              <w:divsChild>
                                <w:div w:id="348609740">
                                  <w:marLeft w:val="225"/>
                                  <w:marRight w:val="0"/>
                                  <w:marTop w:val="0"/>
                                  <w:marBottom w:val="0"/>
                                  <w:divBdr>
                                    <w:top w:val="none" w:sz="0" w:space="0" w:color="auto"/>
                                    <w:left w:val="none" w:sz="0" w:space="0" w:color="auto"/>
                                    <w:bottom w:val="none" w:sz="0" w:space="0" w:color="auto"/>
                                    <w:right w:val="none" w:sz="0" w:space="0" w:color="auto"/>
                                  </w:divBdr>
                                </w:div>
                              </w:divsChild>
                            </w:div>
                            <w:div w:id="1116411192">
                              <w:marLeft w:val="0"/>
                              <w:marRight w:val="0"/>
                              <w:marTop w:val="0"/>
                              <w:marBottom w:val="0"/>
                              <w:divBdr>
                                <w:top w:val="none" w:sz="0" w:space="0" w:color="auto"/>
                                <w:left w:val="none" w:sz="0" w:space="0" w:color="auto"/>
                                <w:bottom w:val="none" w:sz="0" w:space="0" w:color="auto"/>
                                <w:right w:val="none" w:sz="0" w:space="0" w:color="auto"/>
                              </w:divBdr>
                              <w:divsChild>
                                <w:div w:id="2136295040">
                                  <w:marLeft w:val="225"/>
                                  <w:marRight w:val="0"/>
                                  <w:marTop w:val="0"/>
                                  <w:marBottom w:val="0"/>
                                  <w:divBdr>
                                    <w:top w:val="none" w:sz="0" w:space="0" w:color="auto"/>
                                    <w:left w:val="none" w:sz="0" w:space="0" w:color="auto"/>
                                    <w:bottom w:val="none" w:sz="0" w:space="0" w:color="auto"/>
                                    <w:right w:val="none" w:sz="0" w:space="0" w:color="auto"/>
                                  </w:divBdr>
                                </w:div>
                              </w:divsChild>
                            </w:div>
                            <w:div w:id="1180315860">
                              <w:marLeft w:val="0"/>
                              <w:marRight w:val="0"/>
                              <w:marTop w:val="0"/>
                              <w:marBottom w:val="0"/>
                              <w:divBdr>
                                <w:top w:val="none" w:sz="0" w:space="0" w:color="auto"/>
                                <w:left w:val="none" w:sz="0" w:space="0" w:color="auto"/>
                                <w:bottom w:val="none" w:sz="0" w:space="0" w:color="auto"/>
                                <w:right w:val="none" w:sz="0" w:space="0" w:color="auto"/>
                              </w:divBdr>
                              <w:divsChild>
                                <w:div w:id="2029673547">
                                  <w:marLeft w:val="225"/>
                                  <w:marRight w:val="0"/>
                                  <w:marTop w:val="0"/>
                                  <w:marBottom w:val="0"/>
                                  <w:divBdr>
                                    <w:top w:val="none" w:sz="0" w:space="0" w:color="auto"/>
                                    <w:left w:val="none" w:sz="0" w:space="0" w:color="auto"/>
                                    <w:bottom w:val="none" w:sz="0" w:space="0" w:color="auto"/>
                                    <w:right w:val="none" w:sz="0" w:space="0" w:color="auto"/>
                                  </w:divBdr>
                                </w:div>
                              </w:divsChild>
                            </w:div>
                            <w:div w:id="1362585552">
                              <w:marLeft w:val="0"/>
                              <w:marRight w:val="0"/>
                              <w:marTop w:val="0"/>
                              <w:marBottom w:val="0"/>
                              <w:divBdr>
                                <w:top w:val="none" w:sz="0" w:space="0" w:color="auto"/>
                                <w:left w:val="none" w:sz="0" w:space="0" w:color="auto"/>
                                <w:bottom w:val="none" w:sz="0" w:space="0" w:color="auto"/>
                                <w:right w:val="none" w:sz="0" w:space="0" w:color="auto"/>
                              </w:divBdr>
                              <w:divsChild>
                                <w:div w:id="10972932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10.1.51.21\Dados\PRINTER%20PRESS\Assessoria%20de%20Comunica&#231;&#227;o\ANEF\2019\Releases\lilian.sanches@grupoprinte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EB65-C8D6-4A64-8566-1CF8A09D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4682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5537</CharactersWithSpaces>
  <SharedDoc>false</SharedDoc>
  <HLinks>
    <vt:vector size="12" baseType="variant">
      <vt:variant>
        <vt:i4>655407</vt:i4>
      </vt:variant>
      <vt:variant>
        <vt:i4>3</vt:i4>
      </vt:variant>
      <vt:variant>
        <vt:i4>0</vt:i4>
      </vt:variant>
      <vt:variant>
        <vt:i4>5</vt:i4>
      </vt:variant>
      <vt:variant>
        <vt:lpwstr>mailto:felipe.guimaraes@printerpress.com.br</vt:lpwstr>
      </vt:variant>
      <vt:variant>
        <vt:lpwstr/>
      </vt:variant>
      <vt:variant>
        <vt:i4>5636207</vt:i4>
      </vt:variant>
      <vt:variant>
        <vt:i4>0</vt:i4>
      </vt:variant>
      <vt:variant>
        <vt:i4>0</vt:i4>
      </vt:variant>
      <vt:variant>
        <vt:i4>5</vt:i4>
      </vt:variant>
      <vt:variant>
        <vt:lpwstr>mailto:evelyn.cheida@printerpress.com.br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zelia</cp:lastModifiedBy>
  <cp:revision>2</cp:revision>
  <cp:lastPrinted>2017-08-30T14:02:00Z</cp:lastPrinted>
  <dcterms:created xsi:type="dcterms:W3CDTF">2020-09-02T22:56:00Z</dcterms:created>
  <dcterms:modified xsi:type="dcterms:W3CDTF">2020-09-02T22:56:00Z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